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E9152" w14:textId="4273E66F" w:rsidR="003F0943" w:rsidRPr="003E3759" w:rsidRDefault="003F0943" w:rsidP="0022748D">
      <w:pPr>
        <w:jc w:val="center"/>
        <w:rPr>
          <w:rFonts w:ascii="Rubik Light" w:eastAsia="Arial" w:hAnsi="Rubik Light" w:cs="Rubik Light"/>
          <w:b/>
          <w:color w:val="000000"/>
          <w:sz w:val="28"/>
          <w:szCs w:val="28"/>
        </w:rPr>
      </w:pPr>
      <w:r w:rsidRPr="003E3759">
        <w:rPr>
          <w:rFonts w:ascii="Rubik Light" w:eastAsia="Arial" w:hAnsi="Rubik Light" w:cs="Rubik Light"/>
          <w:b/>
          <w:color w:val="000000"/>
          <w:sz w:val="28"/>
          <w:szCs w:val="28"/>
        </w:rPr>
        <w:t>Modelo declaración responsable PRTR DNSH (cumplimiento de no perjuicio significativo a objetivos medioambientales)</w:t>
      </w:r>
    </w:p>
    <w:p w14:paraId="040C12A1" w14:textId="77777777" w:rsidR="003F0943" w:rsidRPr="003E3759" w:rsidRDefault="003F0943" w:rsidP="003F0943">
      <w:pPr>
        <w:jc w:val="both"/>
        <w:rPr>
          <w:rFonts w:ascii="Rubik Light" w:eastAsia="Arial" w:hAnsi="Rubik Light" w:cs="Rubik Light"/>
          <w:b/>
          <w:color w:val="000000"/>
          <w:sz w:val="22"/>
          <w:szCs w:val="22"/>
        </w:rPr>
      </w:pPr>
    </w:p>
    <w:p w14:paraId="1F89B894" w14:textId="07B3ABA7" w:rsidR="003F0943" w:rsidRPr="003E3759" w:rsidRDefault="003F0943" w:rsidP="003F0943">
      <w:pPr>
        <w:jc w:val="center"/>
        <w:rPr>
          <w:rFonts w:ascii="Rubik Light" w:hAnsi="Rubik Light" w:cs="Rubik Light"/>
          <w:b/>
          <w:sz w:val="22"/>
          <w:szCs w:val="22"/>
        </w:rPr>
      </w:pPr>
      <w:r w:rsidRPr="003E3759">
        <w:rPr>
          <w:rFonts w:ascii="Rubik Light" w:hAnsi="Rubik Light" w:cs="Rubik Light"/>
          <w:b/>
          <w:sz w:val="22"/>
          <w:szCs w:val="22"/>
          <w:highlight w:val="yellow"/>
        </w:rPr>
        <w:t xml:space="preserve">[Todos y cada uno de los participantes como beneficiarios deberán rellenar, firmar </w:t>
      </w:r>
      <w:r w:rsidR="00D24102" w:rsidRPr="003E3759">
        <w:rPr>
          <w:rFonts w:ascii="Rubik Light" w:hAnsi="Rubik Light" w:cs="Rubik Light"/>
          <w:b/>
          <w:sz w:val="22"/>
          <w:szCs w:val="22"/>
          <w:highlight w:val="yellow"/>
        </w:rPr>
        <w:t xml:space="preserve">electrónicamente </w:t>
      </w:r>
      <w:r w:rsidRPr="003E3759">
        <w:rPr>
          <w:rFonts w:ascii="Rubik Light" w:hAnsi="Rubik Light" w:cs="Rubik Light"/>
          <w:b/>
          <w:sz w:val="22"/>
          <w:szCs w:val="22"/>
          <w:highlight w:val="yellow"/>
        </w:rPr>
        <w:t>y presentar esta declaración]</w:t>
      </w:r>
    </w:p>
    <w:p w14:paraId="74D57BA3" w14:textId="77777777" w:rsidR="0022748D" w:rsidRPr="003E3759" w:rsidRDefault="0022748D" w:rsidP="003F0943">
      <w:pPr>
        <w:jc w:val="center"/>
        <w:rPr>
          <w:rFonts w:ascii="Rubik Light" w:hAnsi="Rubik Light" w:cs="Rubik Light"/>
          <w:b/>
          <w:sz w:val="22"/>
          <w:szCs w:val="22"/>
        </w:rPr>
      </w:pPr>
    </w:p>
    <w:p w14:paraId="017ACBAE" w14:textId="77777777" w:rsidR="003F0943" w:rsidRPr="003E3759" w:rsidRDefault="003F0943" w:rsidP="003F0943">
      <w:pPr>
        <w:spacing w:after="120" w:line="276" w:lineRule="auto"/>
        <w:jc w:val="center"/>
        <w:rPr>
          <w:rFonts w:ascii="Rubik Light" w:eastAsia="Arial" w:hAnsi="Rubik Light" w:cs="Rubik Light"/>
          <w:i/>
          <w:color w:val="000000"/>
          <w:sz w:val="22"/>
          <w:szCs w:val="22"/>
        </w:rPr>
      </w:pPr>
      <w:r w:rsidRPr="003E3759">
        <w:rPr>
          <w:rFonts w:ascii="Rubik Light" w:eastAsia="Arial" w:hAnsi="Rubik Light" w:cs="Rubik Light"/>
          <w:i/>
          <w:color w:val="000000"/>
          <w:sz w:val="22"/>
          <w:szCs w:val="22"/>
        </w:rPr>
        <w:t>Declaración responsable del cumplimiento del principio de no perjuicio significativo a los seis objetivos medioambientales (DNSH) en el sentido del artículo 17 del Reglamento (UE) 2020/852</w:t>
      </w:r>
    </w:p>
    <w:p w14:paraId="5EE47161" w14:textId="755AA7DA" w:rsidR="003F0943" w:rsidRPr="003E3759" w:rsidRDefault="00EC6783" w:rsidP="003F0943">
      <w:pPr>
        <w:spacing w:after="120" w:line="276" w:lineRule="auto"/>
        <w:jc w:val="center"/>
        <w:rPr>
          <w:rFonts w:ascii="Rubik Light" w:hAnsi="Rubik Light" w:cs="Rubik Light"/>
          <w:b/>
          <w:sz w:val="22"/>
          <w:szCs w:val="22"/>
        </w:rPr>
      </w:pPr>
      <w:r w:rsidRPr="003E3759">
        <w:rPr>
          <w:rFonts w:ascii="Rubik Light" w:hAnsi="Rubik Light" w:cs="Rubik Light"/>
          <w:b/>
          <w:sz w:val="22"/>
          <w:szCs w:val="22"/>
        </w:rPr>
        <w:t>EL DE</w:t>
      </w:r>
      <w:r w:rsidR="003F0943" w:rsidRPr="003E3759">
        <w:rPr>
          <w:rFonts w:ascii="Rubik Light" w:hAnsi="Rubik Light" w:cs="Rubik Light"/>
          <w:b/>
          <w:sz w:val="22"/>
          <w:szCs w:val="22"/>
        </w:rPr>
        <w:t>CLARANTE: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5522"/>
      </w:tblGrid>
      <w:tr w:rsidR="003F0943" w:rsidRPr="003E3759" w14:paraId="2D143D61" w14:textId="77777777" w:rsidTr="00524418">
        <w:trPr>
          <w:trHeight w:val="260"/>
        </w:trPr>
        <w:tc>
          <w:tcPr>
            <w:tcW w:w="2972" w:type="dxa"/>
            <w:tcMar>
              <w:top w:w="40" w:type="dxa"/>
              <w:left w:w="40" w:type="dxa"/>
              <w:bottom w:w="40" w:type="dxa"/>
              <w:right w:w="40" w:type="dxa"/>
            </w:tcMar>
            <w:vAlign w:val="center"/>
          </w:tcPr>
          <w:p w14:paraId="7CDE85A8" w14:textId="77777777" w:rsidR="003F0943" w:rsidRPr="003E3759" w:rsidRDefault="003F0943" w:rsidP="00524418">
            <w:pPr>
              <w:spacing w:after="120" w:line="276" w:lineRule="auto"/>
              <w:rPr>
                <w:rFonts w:ascii="Rubik Light" w:hAnsi="Rubik Light" w:cs="Rubik Light"/>
                <w:sz w:val="22"/>
                <w:szCs w:val="22"/>
                <w:lang w:val="en-US"/>
              </w:rPr>
            </w:pPr>
            <w:r w:rsidRPr="003E3759">
              <w:rPr>
                <w:rFonts w:ascii="Rubik Light" w:eastAsia="Arial" w:hAnsi="Rubik Light" w:cs="Rubik Light"/>
                <w:color w:val="000000"/>
                <w:sz w:val="22"/>
                <w:szCs w:val="22"/>
                <w:lang w:val="en-US"/>
              </w:rPr>
              <w:t>Don/Doña</w:t>
            </w:r>
          </w:p>
        </w:tc>
        <w:tc>
          <w:tcPr>
            <w:tcW w:w="5522" w:type="dxa"/>
            <w:tcMar>
              <w:top w:w="40" w:type="dxa"/>
              <w:left w:w="40" w:type="dxa"/>
              <w:bottom w:w="40" w:type="dxa"/>
              <w:right w:w="40" w:type="dxa"/>
            </w:tcMar>
            <w:vAlign w:val="center"/>
          </w:tcPr>
          <w:p w14:paraId="7FBA6727" w14:textId="77777777" w:rsidR="003F0943" w:rsidRPr="003E3759" w:rsidRDefault="003F0943" w:rsidP="00524418">
            <w:pPr>
              <w:spacing w:after="120" w:line="276" w:lineRule="auto"/>
              <w:rPr>
                <w:rFonts w:ascii="Rubik Light" w:hAnsi="Rubik Light" w:cs="Rubik Light"/>
                <w:sz w:val="22"/>
                <w:szCs w:val="22"/>
                <w:lang w:val="en-US"/>
              </w:rPr>
            </w:pPr>
          </w:p>
        </w:tc>
      </w:tr>
      <w:tr w:rsidR="003F0943" w:rsidRPr="003E3759" w14:paraId="6DEF1E46" w14:textId="77777777" w:rsidTr="00524418">
        <w:trPr>
          <w:trHeight w:val="260"/>
        </w:trPr>
        <w:tc>
          <w:tcPr>
            <w:tcW w:w="2972" w:type="dxa"/>
            <w:tcMar>
              <w:top w:w="40" w:type="dxa"/>
              <w:left w:w="40" w:type="dxa"/>
              <w:bottom w:w="40" w:type="dxa"/>
              <w:right w:w="40" w:type="dxa"/>
            </w:tcMar>
            <w:vAlign w:val="center"/>
          </w:tcPr>
          <w:p w14:paraId="7C836F9A" w14:textId="77777777" w:rsidR="003F0943" w:rsidRPr="003E3759" w:rsidRDefault="003F0943" w:rsidP="00524418">
            <w:pPr>
              <w:spacing w:after="120" w:line="276" w:lineRule="auto"/>
              <w:rPr>
                <w:rFonts w:ascii="Rubik Light" w:hAnsi="Rubik Light" w:cs="Rubik Light"/>
                <w:sz w:val="22"/>
                <w:szCs w:val="22"/>
                <w:lang w:val="en-US"/>
              </w:rPr>
            </w:pPr>
            <w:r w:rsidRPr="003E3759">
              <w:rPr>
                <w:rFonts w:ascii="Rubik Light" w:eastAsia="Calibri" w:hAnsi="Rubik Light" w:cs="Rubik Light"/>
                <w:color w:val="000000"/>
                <w:sz w:val="22"/>
                <w:szCs w:val="22"/>
                <w:lang w:val="en-US"/>
              </w:rPr>
              <w:t>Con NIF</w:t>
            </w:r>
          </w:p>
        </w:tc>
        <w:tc>
          <w:tcPr>
            <w:tcW w:w="5522" w:type="dxa"/>
            <w:tcMar>
              <w:top w:w="40" w:type="dxa"/>
              <w:left w:w="40" w:type="dxa"/>
              <w:bottom w:w="40" w:type="dxa"/>
              <w:right w:w="40" w:type="dxa"/>
            </w:tcMar>
            <w:vAlign w:val="center"/>
          </w:tcPr>
          <w:p w14:paraId="595D5E15" w14:textId="77777777" w:rsidR="003F0943" w:rsidRPr="003E3759" w:rsidRDefault="003F0943" w:rsidP="00524418">
            <w:pPr>
              <w:spacing w:after="120" w:line="276" w:lineRule="auto"/>
              <w:rPr>
                <w:rFonts w:ascii="Rubik Light" w:hAnsi="Rubik Light" w:cs="Rubik Light"/>
                <w:sz w:val="22"/>
                <w:szCs w:val="22"/>
                <w:lang w:val="en-US"/>
              </w:rPr>
            </w:pPr>
          </w:p>
        </w:tc>
      </w:tr>
      <w:tr w:rsidR="003F0943" w:rsidRPr="003E3759" w14:paraId="166E6339" w14:textId="77777777" w:rsidTr="00524418">
        <w:trPr>
          <w:trHeight w:val="260"/>
        </w:trPr>
        <w:tc>
          <w:tcPr>
            <w:tcW w:w="2972" w:type="dxa"/>
            <w:tcMar>
              <w:top w:w="40" w:type="dxa"/>
              <w:left w:w="40" w:type="dxa"/>
              <w:bottom w:w="40" w:type="dxa"/>
              <w:right w:w="40" w:type="dxa"/>
            </w:tcMar>
            <w:vAlign w:val="center"/>
          </w:tcPr>
          <w:p w14:paraId="09694AAF" w14:textId="77777777" w:rsidR="003F0943" w:rsidRPr="003E3759" w:rsidRDefault="003F0943" w:rsidP="00524418">
            <w:pPr>
              <w:spacing w:after="120" w:line="276" w:lineRule="auto"/>
              <w:rPr>
                <w:rFonts w:ascii="Rubik Light" w:hAnsi="Rubik Light" w:cs="Rubik Light"/>
                <w:sz w:val="22"/>
                <w:szCs w:val="22"/>
              </w:rPr>
            </w:pPr>
            <w:r w:rsidRPr="003E3759">
              <w:rPr>
                <w:rFonts w:ascii="Rubik Light" w:eastAsia="Calibri" w:hAnsi="Rubik Light" w:cs="Rubik Light"/>
                <w:color w:val="000000"/>
                <w:sz w:val="22"/>
                <w:szCs w:val="22"/>
              </w:rPr>
              <w:t>Por sí mismo o en representación de la entidad</w:t>
            </w:r>
          </w:p>
        </w:tc>
        <w:tc>
          <w:tcPr>
            <w:tcW w:w="5522" w:type="dxa"/>
            <w:tcMar>
              <w:top w:w="40" w:type="dxa"/>
              <w:left w:w="40" w:type="dxa"/>
              <w:bottom w:w="40" w:type="dxa"/>
              <w:right w:w="40" w:type="dxa"/>
            </w:tcMar>
            <w:vAlign w:val="center"/>
          </w:tcPr>
          <w:p w14:paraId="2762DABE" w14:textId="77777777" w:rsidR="003F0943" w:rsidRPr="003E3759" w:rsidRDefault="003F0943" w:rsidP="00524418">
            <w:pPr>
              <w:spacing w:after="120" w:line="276" w:lineRule="auto"/>
              <w:rPr>
                <w:rFonts w:ascii="Rubik Light" w:hAnsi="Rubik Light" w:cs="Rubik Light"/>
                <w:sz w:val="22"/>
                <w:szCs w:val="22"/>
              </w:rPr>
            </w:pPr>
          </w:p>
        </w:tc>
      </w:tr>
      <w:tr w:rsidR="003F0943" w:rsidRPr="003E3759" w14:paraId="3370D0E0" w14:textId="77777777" w:rsidTr="00524418">
        <w:trPr>
          <w:trHeight w:val="260"/>
        </w:trPr>
        <w:tc>
          <w:tcPr>
            <w:tcW w:w="2972" w:type="dxa"/>
            <w:tcMar>
              <w:top w:w="40" w:type="dxa"/>
              <w:left w:w="40" w:type="dxa"/>
              <w:bottom w:w="40" w:type="dxa"/>
              <w:right w:w="40" w:type="dxa"/>
            </w:tcMar>
            <w:vAlign w:val="center"/>
          </w:tcPr>
          <w:p w14:paraId="23E13E07" w14:textId="77777777" w:rsidR="003F0943" w:rsidRPr="003E3759" w:rsidRDefault="003F0943" w:rsidP="00524418">
            <w:pPr>
              <w:spacing w:after="120" w:line="276" w:lineRule="auto"/>
              <w:rPr>
                <w:rFonts w:ascii="Rubik Light" w:hAnsi="Rubik Light" w:cs="Rubik Light"/>
                <w:sz w:val="22"/>
                <w:szCs w:val="22"/>
                <w:lang w:val="en-US"/>
              </w:rPr>
            </w:pPr>
            <w:r w:rsidRPr="003E3759">
              <w:rPr>
                <w:rFonts w:ascii="Rubik Light" w:eastAsia="Calibri" w:hAnsi="Rubik Light" w:cs="Rubik Light"/>
                <w:color w:val="000000"/>
                <w:sz w:val="22"/>
                <w:szCs w:val="22"/>
                <w:lang w:val="en-US"/>
              </w:rPr>
              <w:t>Con CIF</w:t>
            </w:r>
          </w:p>
        </w:tc>
        <w:tc>
          <w:tcPr>
            <w:tcW w:w="5522" w:type="dxa"/>
            <w:tcMar>
              <w:top w:w="40" w:type="dxa"/>
              <w:left w:w="40" w:type="dxa"/>
              <w:bottom w:w="40" w:type="dxa"/>
              <w:right w:w="40" w:type="dxa"/>
            </w:tcMar>
            <w:vAlign w:val="center"/>
          </w:tcPr>
          <w:p w14:paraId="13154E7D" w14:textId="77777777" w:rsidR="003F0943" w:rsidRPr="003E3759" w:rsidRDefault="003F0943" w:rsidP="00524418">
            <w:pPr>
              <w:spacing w:after="120" w:line="276" w:lineRule="auto"/>
              <w:rPr>
                <w:rFonts w:ascii="Rubik Light" w:hAnsi="Rubik Light" w:cs="Rubik Light"/>
                <w:sz w:val="22"/>
                <w:szCs w:val="22"/>
              </w:rPr>
            </w:pPr>
          </w:p>
        </w:tc>
      </w:tr>
      <w:tr w:rsidR="003F0943" w:rsidRPr="003E3759" w14:paraId="6BFD8C79" w14:textId="77777777" w:rsidTr="00524418">
        <w:trPr>
          <w:trHeight w:val="260"/>
        </w:trPr>
        <w:tc>
          <w:tcPr>
            <w:tcW w:w="2972" w:type="dxa"/>
            <w:tcMar>
              <w:top w:w="40" w:type="dxa"/>
              <w:left w:w="40" w:type="dxa"/>
              <w:bottom w:w="40" w:type="dxa"/>
              <w:right w:w="40" w:type="dxa"/>
            </w:tcMar>
            <w:vAlign w:val="center"/>
          </w:tcPr>
          <w:p w14:paraId="0A09F573" w14:textId="77777777" w:rsidR="003F0943" w:rsidRPr="003E3759" w:rsidRDefault="003F0943" w:rsidP="00524418">
            <w:pPr>
              <w:spacing w:after="120" w:line="276" w:lineRule="auto"/>
              <w:rPr>
                <w:rFonts w:ascii="Rubik Light" w:hAnsi="Rubik Light" w:cs="Rubik Light"/>
                <w:sz w:val="22"/>
                <w:szCs w:val="22"/>
                <w:lang w:val="en-US"/>
              </w:rPr>
            </w:pPr>
            <w:proofErr w:type="spellStart"/>
            <w:r w:rsidRPr="003E3759">
              <w:rPr>
                <w:rFonts w:ascii="Rubik Light" w:eastAsia="Calibri" w:hAnsi="Rubik Light" w:cs="Rubik Light"/>
                <w:color w:val="000000"/>
                <w:sz w:val="22"/>
                <w:szCs w:val="22"/>
                <w:lang w:val="en-US"/>
              </w:rPr>
              <w:t>En</w:t>
            </w:r>
            <w:proofErr w:type="spellEnd"/>
            <w:r w:rsidRPr="003E3759">
              <w:rPr>
                <w:rFonts w:ascii="Rubik Light" w:eastAsia="Calibri" w:hAnsi="Rubik Light" w:cs="Rubik Light"/>
                <w:color w:val="000000"/>
                <w:sz w:val="22"/>
                <w:szCs w:val="22"/>
                <w:lang w:val="en-US"/>
              </w:rPr>
              <w:t xml:space="preserve"> </w:t>
            </w:r>
            <w:proofErr w:type="spellStart"/>
            <w:r w:rsidRPr="003E3759">
              <w:rPr>
                <w:rFonts w:ascii="Rubik Light" w:eastAsia="Calibri" w:hAnsi="Rubik Light" w:cs="Rubik Light"/>
                <w:color w:val="000000"/>
                <w:sz w:val="22"/>
                <w:szCs w:val="22"/>
                <w:lang w:val="en-US"/>
              </w:rPr>
              <w:t>calidad</w:t>
            </w:r>
            <w:proofErr w:type="spellEnd"/>
            <w:r w:rsidRPr="003E3759">
              <w:rPr>
                <w:rFonts w:ascii="Rubik Light" w:eastAsia="Calibri" w:hAnsi="Rubik Light" w:cs="Rubik Light"/>
                <w:color w:val="000000"/>
                <w:sz w:val="22"/>
                <w:szCs w:val="22"/>
                <w:lang w:val="en-US"/>
              </w:rPr>
              <w:t xml:space="preserve"> de</w:t>
            </w:r>
          </w:p>
        </w:tc>
        <w:tc>
          <w:tcPr>
            <w:tcW w:w="5522" w:type="dxa"/>
            <w:tcMar>
              <w:top w:w="40" w:type="dxa"/>
              <w:left w:w="40" w:type="dxa"/>
              <w:bottom w:w="40" w:type="dxa"/>
              <w:right w:w="40" w:type="dxa"/>
            </w:tcMar>
            <w:vAlign w:val="center"/>
          </w:tcPr>
          <w:p w14:paraId="3B19E89C" w14:textId="77777777" w:rsidR="003F0943" w:rsidRPr="003E3759" w:rsidRDefault="003F0943" w:rsidP="00524418">
            <w:pPr>
              <w:spacing w:after="120" w:line="276" w:lineRule="auto"/>
              <w:rPr>
                <w:rFonts w:ascii="Rubik Light" w:hAnsi="Rubik Light" w:cs="Rubik Light"/>
                <w:sz w:val="22"/>
                <w:szCs w:val="22"/>
                <w:lang w:val="en-US"/>
              </w:rPr>
            </w:pPr>
            <w:r w:rsidRPr="003E3759">
              <w:rPr>
                <w:rFonts w:ascii="Rubik Light" w:eastAsia="Arial" w:hAnsi="Rubik Light" w:cs="Rubik Light"/>
                <w:color w:val="000000"/>
                <w:sz w:val="22"/>
                <w:szCs w:val="22"/>
                <w:lang w:val="en-US"/>
              </w:rPr>
              <w:t xml:space="preserve">   </w:t>
            </w:r>
          </w:p>
        </w:tc>
      </w:tr>
      <w:tr w:rsidR="003F0943" w:rsidRPr="003E3759" w14:paraId="6CB8AB12" w14:textId="77777777" w:rsidTr="00524418">
        <w:trPr>
          <w:trHeight w:val="260"/>
        </w:trPr>
        <w:tc>
          <w:tcPr>
            <w:tcW w:w="2972" w:type="dxa"/>
            <w:tcMar>
              <w:top w:w="40" w:type="dxa"/>
              <w:left w:w="40" w:type="dxa"/>
              <w:bottom w:w="40" w:type="dxa"/>
              <w:right w:w="40" w:type="dxa"/>
            </w:tcMar>
            <w:vAlign w:val="center"/>
          </w:tcPr>
          <w:p w14:paraId="7902FC0F" w14:textId="77777777" w:rsidR="003F0943" w:rsidRPr="003E3759" w:rsidRDefault="003F0943" w:rsidP="00524418">
            <w:pPr>
              <w:spacing w:after="120" w:line="276" w:lineRule="auto"/>
              <w:rPr>
                <w:rFonts w:ascii="Rubik Light" w:eastAsia="Calibri" w:hAnsi="Rubik Light" w:cs="Rubik Light"/>
                <w:color w:val="000000"/>
                <w:sz w:val="22"/>
                <w:szCs w:val="22"/>
              </w:rPr>
            </w:pPr>
            <w:r w:rsidRPr="003E3759">
              <w:rPr>
                <w:rFonts w:ascii="Rubik Light" w:eastAsia="Calibri" w:hAnsi="Rubik Light" w:cs="Rubik Light"/>
                <w:color w:val="000000"/>
                <w:sz w:val="22"/>
                <w:szCs w:val="22"/>
              </w:rPr>
              <w:t>Datos de contacto (dirección, teléfono, email).</w:t>
            </w:r>
          </w:p>
        </w:tc>
        <w:tc>
          <w:tcPr>
            <w:tcW w:w="5522" w:type="dxa"/>
            <w:tcMar>
              <w:top w:w="40" w:type="dxa"/>
              <w:left w:w="40" w:type="dxa"/>
              <w:bottom w:w="40" w:type="dxa"/>
              <w:right w:w="40" w:type="dxa"/>
            </w:tcMar>
            <w:vAlign w:val="center"/>
          </w:tcPr>
          <w:p w14:paraId="028CC044" w14:textId="77777777" w:rsidR="003F0943" w:rsidRPr="003E3759" w:rsidRDefault="003F0943" w:rsidP="00524418">
            <w:pPr>
              <w:spacing w:after="120" w:line="276" w:lineRule="auto"/>
              <w:rPr>
                <w:rFonts w:ascii="Rubik Light" w:eastAsia="Arial" w:hAnsi="Rubik Light" w:cs="Rubik Light"/>
                <w:color w:val="000000"/>
                <w:sz w:val="22"/>
                <w:szCs w:val="22"/>
              </w:rPr>
            </w:pPr>
          </w:p>
        </w:tc>
      </w:tr>
    </w:tbl>
    <w:p w14:paraId="0387BE7E" w14:textId="77777777" w:rsidR="003F0943" w:rsidRPr="003E3759" w:rsidRDefault="003F0943" w:rsidP="003F0943">
      <w:pPr>
        <w:shd w:val="clear" w:color="auto" w:fill="FFFFFF"/>
        <w:spacing w:before="360" w:after="180"/>
        <w:jc w:val="center"/>
        <w:rPr>
          <w:rFonts w:ascii="Rubik Light" w:eastAsia="Arial" w:hAnsi="Rubik Light" w:cs="Rubik Light"/>
          <w:b/>
          <w:sz w:val="22"/>
          <w:szCs w:val="22"/>
        </w:rPr>
      </w:pPr>
      <w:r w:rsidRPr="003E3759">
        <w:rPr>
          <w:rFonts w:ascii="Rubik Light" w:eastAsia="Arial" w:hAnsi="Rubik Light" w:cs="Rubik Light"/>
          <w:b/>
          <w:sz w:val="22"/>
          <w:szCs w:val="22"/>
        </w:rPr>
        <w:t>DECLARA BAJO SU RESPONSABILIDAD:</w:t>
      </w:r>
    </w:p>
    <w:p w14:paraId="09A39003" w14:textId="77777777" w:rsidR="003F0943" w:rsidRPr="003E3759" w:rsidRDefault="003F0943" w:rsidP="003F0943">
      <w:pPr>
        <w:spacing w:after="120" w:line="276" w:lineRule="auto"/>
        <w:jc w:val="both"/>
        <w:rPr>
          <w:rFonts w:ascii="Rubik Light" w:eastAsia="Arial" w:hAnsi="Rubik Light" w:cs="Rubik Light"/>
          <w:sz w:val="22"/>
          <w:szCs w:val="22"/>
        </w:rPr>
      </w:pPr>
      <w:r w:rsidRPr="003E3759">
        <w:rPr>
          <w:rFonts w:ascii="Rubik Light" w:eastAsia="Arial" w:hAnsi="Rubik Light" w:cs="Rubik Light"/>
          <w:sz w:val="22"/>
          <w:szCs w:val="22"/>
        </w:rPr>
        <w:t>Que la entidad solicitante a la cual representa, teniendo en cuenta todas las fases del ciclo de vida del proyecto o actividad a desarrollar, tanto durante su implantación como al final de su vida útil, cumplirá con el principio DNSH de «no causar un perjuicio significativo» exigido por el REGLAMENTO (UE) 2021/241, por el que se establece el Mecanismo de Recuperación y Resiliencia.</w:t>
      </w:r>
    </w:p>
    <w:p w14:paraId="7BBEC1FF" w14:textId="1E6F06B4" w:rsidR="003F0943" w:rsidRPr="003E3759" w:rsidRDefault="003F0943" w:rsidP="003F0943">
      <w:pPr>
        <w:spacing w:after="120" w:line="276" w:lineRule="auto"/>
        <w:jc w:val="both"/>
        <w:rPr>
          <w:rFonts w:ascii="Rubik Light" w:hAnsi="Rubik Light" w:cs="Rubik Light"/>
          <w:sz w:val="22"/>
          <w:szCs w:val="22"/>
        </w:rPr>
      </w:pPr>
      <w:r w:rsidRPr="003E3759">
        <w:rPr>
          <w:rFonts w:ascii="Rubik Light" w:eastAsia="Arial" w:hAnsi="Rubik Light" w:cs="Rubik Light"/>
          <w:sz w:val="22"/>
          <w:szCs w:val="22"/>
        </w:rPr>
        <w:t>Y, con el f</w:t>
      </w:r>
      <w:r w:rsidRPr="003E3759">
        <w:rPr>
          <w:rFonts w:ascii="Rubik Light" w:hAnsi="Rubik Light" w:cs="Rubik Light"/>
          <w:sz w:val="22"/>
          <w:szCs w:val="22"/>
        </w:rPr>
        <w:t>in de garantizar que la medida se ajusta a la Guía técnica sobre la aplicación del principio de «no causar un perjuicio significativo» (DO C 58 de 18.2.2021, p. 1), los beneficiarios declaran que no incorporarán entre las actividades financiadas las actividades que se enumeran a continuación:</w:t>
      </w:r>
    </w:p>
    <w:p w14:paraId="6025539D" w14:textId="1BD5DEAE" w:rsidR="003F0943" w:rsidRPr="003E3759" w:rsidRDefault="003F0943" w:rsidP="003F0943">
      <w:pPr>
        <w:pStyle w:val="Prrafodelista"/>
        <w:numPr>
          <w:ilvl w:val="0"/>
          <w:numId w:val="23"/>
        </w:numPr>
        <w:spacing w:after="120" w:line="276" w:lineRule="auto"/>
        <w:jc w:val="both"/>
        <w:rPr>
          <w:rFonts w:ascii="Rubik Light" w:hAnsi="Rubik Light" w:cs="Rubik Light"/>
        </w:rPr>
      </w:pPr>
      <w:r w:rsidRPr="003E3759">
        <w:rPr>
          <w:rFonts w:ascii="Rubik Light" w:hAnsi="Rubik Light" w:cs="Rubik Light"/>
        </w:rPr>
        <w:lastRenderedPageBreak/>
        <w:t>Las actividades relacionadas con los combustibles fósiles, incluida la utilización ulterior de los mismos</w:t>
      </w:r>
      <w:r w:rsidR="004478C8" w:rsidRPr="003E3759">
        <w:rPr>
          <w:rStyle w:val="Refdenotaalpie"/>
          <w:rFonts w:ascii="Rubik Light" w:hAnsi="Rubik Light" w:cs="Rubik Light"/>
        </w:rPr>
        <w:t>1</w:t>
      </w:r>
      <w:r w:rsidRPr="003E3759">
        <w:rPr>
          <w:rFonts w:ascii="Rubik Light" w:hAnsi="Rubik Light" w:cs="Rubik Light"/>
        </w:rPr>
        <w:t xml:space="preserve">; </w:t>
      </w:r>
    </w:p>
    <w:p w14:paraId="1305912B" w14:textId="5173DD93" w:rsidR="003F0943" w:rsidRPr="003E3759" w:rsidRDefault="003F0943" w:rsidP="003F0943">
      <w:pPr>
        <w:pStyle w:val="Prrafodelista"/>
        <w:numPr>
          <w:ilvl w:val="0"/>
          <w:numId w:val="23"/>
        </w:numPr>
        <w:spacing w:after="120" w:line="276" w:lineRule="auto"/>
        <w:jc w:val="both"/>
        <w:rPr>
          <w:rFonts w:ascii="Rubik Light" w:hAnsi="Rubik Light" w:cs="Rubik Light"/>
        </w:rPr>
      </w:pPr>
      <w:r w:rsidRPr="003E3759">
        <w:rPr>
          <w:rFonts w:ascii="Rubik Light" w:hAnsi="Rubik Light" w:cs="Rubik Light"/>
        </w:rPr>
        <w:t>Las actividades en el marco del régimen de comercio de derechos de emisión de la UE (RCDE) en relación con las cuales se prevea que las emisiones de gases de efecto invernadero que van a provocar no se situarán por debajo de los parámetros de referencia pertinentes</w:t>
      </w:r>
      <w:r w:rsidR="004478C8" w:rsidRPr="003E3759">
        <w:rPr>
          <w:rStyle w:val="Refdenotaalpie"/>
          <w:rFonts w:ascii="Rubik Light" w:hAnsi="Rubik Light" w:cs="Rubik Light"/>
        </w:rPr>
        <w:t>2</w:t>
      </w:r>
      <w:r w:rsidRPr="003E3759">
        <w:rPr>
          <w:rFonts w:ascii="Rubik Light" w:hAnsi="Rubik Light" w:cs="Rubik Light"/>
        </w:rPr>
        <w:t xml:space="preserve">; </w:t>
      </w:r>
    </w:p>
    <w:p w14:paraId="2D1D7FBB" w14:textId="33F923FD" w:rsidR="008F52CA" w:rsidRPr="003E3759" w:rsidRDefault="003F0943" w:rsidP="003F0943">
      <w:pPr>
        <w:pStyle w:val="Prrafodelista"/>
        <w:numPr>
          <w:ilvl w:val="0"/>
          <w:numId w:val="23"/>
        </w:numPr>
        <w:spacing w:after="120" w:line="276" w:lineRule="auto"/>
        <w:jc w:val="both"/>
        <w:rPr>
          <w:rFonts w:ascii="Rubik Light" w:hAnsi="Rubik Light" w:cs="Rubik Light"/>
        </w:rPr>
      </w:pPr>
      <w:r w:rsidRPr="003E3759">
        <w:rPr>
          <w:rFonts w:ascii="Rubik Light" w:hAnsi="Rubik Light" w:cs="Rubik Light"/>
        </w:rPr>
        <w:t>Las actividades relacionadas con vertederos de residuos, incineradoras</w:t>
      </w:r>
      <w:r w:rsidRPr="003E3759">
        <w:rPr>
          <w:rStyle w:val="Refdenotaalpie"/>
          <w:rFonts w:ascii="Rubik Light" w:hAnsi="Rubik Light" w:cs="Rubik Light"/>
        </w:rPr>
        <w:t>4</w:t>
      </w:r>
      <w:r w:rsidRPr="003E3759">
        <w:rPr>
          <w:rFonts w:ascii="Rubik Light" w:hAnsi="Rubik Light" w:cs="Rubik Light"/>
        </w:rPr>
        <w:t xml:space="preserve"> y plantas de tratamiento mecánico-biológico</w:t>
      </w:r>
      <w:r w:rsidRPr="003E3759">
        <w:rPr>
          <w:rStyle w:val="Refdenotaalpie"/>
          <w:rFonts w:ascii="Rubik Light" w:hAnsi="Rubik Light" w:cs="Rubik Light"/>
        </w:rPr>
        <w:t>5</w:t>
      </w:r>
      <w:r w:rsidR="008F52CA" w:rsidRPr="003E3759">
        <w:rPr>
          <w:rFonts w:ascii="Rubik Light" w:hAnsi="Rubik Light" w:cs="Rubik Light"/>
        </w:rPr>
        <w:t xml:space="preserve">; </w:t>
      </w:r>
    </w:p>
    <w:p w14:paraId="579EDE02" w14:textId="61FBAFF8" w:rsidR="003F0943" w:rsidRPr="003E3759" w:rsidRDefault="008F52CA" w:rsidP="003F0943">
      <w:pPr>
        <w:pStyle w:val="Prrafodelista"/>
        <w:numPr>
          <w:ilvl w:val="0"/>
          <w:numId w:val="23"/>
        </w:numPr>
        <w:spacing w:after="120" w:line="276" w:lineRule="auto"/>
        <w:jc w:val="both"/>
        <w:rPr>
          <w:rFonts w:ascii="Rubik Light" w:hAnsi="Rubik Light" w:cs="Rubik Light"/>
        </w:rPr>
      </w:pPr>
      <w:r w:rsidRPr="003E3759">
        <w:rPr>
          <w:rFonts w:ascii="Rubik Light" w:hAnsi="Rubik Light" w:cs="Rubik Light"/>
        </w:rPr>
        <w:t>l</w:t>
      </w:r>
      <w:r w:rsidR="003F0943" w:rsidRPr="003E3759">
        <w:rPr>
          <w:rFonts w:ascii="Rubik Light" w:hAnsi="Rubik Light" w:cs="Rubik Light"/>
        </w:rPr>
        <w:t xml:space="preserve">as actividades en las que la eliminación a largo plazo de residuos pueda causar daños al medio ambiente. </w:t>
      </w:r>
    </w:p>
    <w:p w14:paraId="04B7E632" w14:textId="572C7401" w:rsidR="003F0943" w:rsidRPr="003E3759" w:rsidRDefault="003F0943" w:rsidP="003F0943">
      <w:pPr>
        <w:spacing w:after="120" w:line="276" w:lineRule="auto"/>
        <w:jc w:val="both"/>
        <w:rPr>
          <w:rFonts w:ascii="Rubik Light" w:hAnsi="Rubik Light" w:cs="Rubik Light"/>
          <w:sz w:val="22"/>
          <w:szCs w:val="22"/>
        </w:rPr>
      </w:pPr>
      <w:r w:rsidRPr="003E3759">
        <w:rPr>
          <w:rFonts w:ascii="Rubik Light" w:hAnsi="Rubik Light" w:cs="Rubik Light"/>
          <w:sz w:val="22"/>
          <w:szCs w:val="22"/>
        </w:rPr>
        <w:t>Solo se financiarán aquellas actividades que cumplan la legislación medioambiental nacional y de la UE pertinente y que:</w:t>
      </w:r>
    </w:p>
    <w:p w14:paraId="30C132F2" w14:textId="71AD502B" w:rsidR="008F52CA" w:rsidRPr="003E3759" w:rsidRDefault="008F52CA" w:rsidP="00DA6DEB">
      <w:pPr>
        <w:pStyle w:val="Prrafodelista"/>
        <w:numPr>
          <w:ilvl w:val="0"/>
          <w:numId w:val="26"/>
        </w:numPr>
        <w:spacing w:after="120" w:line="276" w:lineRule="auto"/>
        <w:jc w:val="both"/>
        <w:rPr>
          <w:rFonts w:ascii="Rubik Light" w:hAnsi="Rubik Light" w:cs="Rubik Light"/>
        </w:rPr>
      </w:pPr>
      <w:r w:rsidRPr="003E3759">
        <w:rPr>
          <w:rFonts w:ascii="Rubik Light" w:eastAsia="Arial" w:hAnsi="Rubik Light" w:cs="Rubik Light"/>
          <w:b/>
          <w:u w:val="single"/>
        </w:rPr>
        <w:t xml:space="preserve">NO CAUSEN </w:t>
      </w:r>
      <w:r w:rsidRPr="003E3759">
        <w:rPr>
          <w:rFonts w:ascii="Rubik Light" w:eastAsia="Arial" w:hAnsi="Rubik Light" w:cs="Rubik Light"/>
          <w:b/>
        </w:rPr>
        <w:t xml:space="preserve">UN PERJUICIO SIGNIFICATIVO A LOS SEIS OBJETIVOS MEDIOAMBIENTALES </w:t>
      </w:r>
      <w:r w:rsidRPr="003E3759">
        <w:rPr>
          <w:rFonts w:ascii="Rubik Light" w:eastAsia="Arial" w:hAnsi="Rubik Light" w:cs="Rubik Light"/>
        </w:rPr>
        <w:t>del artículo 17 del Reglamento (UE) 2020/852</w:t>
      </w:r>
      <w:r w:rsidRPr="003E3759">
        <w:rPr>
          <w:rFonts w:ascii="Rubik Light" w:eastAsia="Arial" w:hAnsi="Rubik Light" w:cs="Rubik Light"/>
          <w:vertAlign w:val="superscript"/>
        </w:rPr>
        <w:t>6</w:t>
      </w:r>
      <w:r w:rsidRPr="003E3759">
        <w:rPr>
          <w:rFonts w:ascii="Rubik Light" w:eastAsia="Arial" w:hAnsi="Rubik Light" w:cs="Rubik Light"/>
        </w:rPr>
        <w:t>, que se enumeran a continuación:</w:t>
      </w:r>
    </w:p>
    <w:p w14:paraId="036BAE55" w14:textId="77777777" w:rsidR="003F0943" w:rsidRPr="003E3759" w:rsidRDefault="003F0943" w:rsidP="003F0943">
      <w:pPr>
        <w:numPr>
          <w:ilvl w:val="0"/>
          <w:numId w:val="21"/>
        </w:numPr>
        <w:spacing w:after="120" w:line="276" w:lineRule="auto"/>
        <w:ind w:left="567" w:hanging="357"/>
        <w:jc w:val="both"/>
        <w:rPr>
          <w:rFonts w:ascii="Rubik Light" w:eastAsia="Arial" w:hAnsi="Rubik Light" w:cs="Rubik Light"/>
          <w:sz w:val="22"/>
          <w:szCs w:val="22"/>
        </w:rPr>
      </w:pPr>
      <w:r w:rsidRPr="003E3759">
        <w:rPr>
          <w:rFonts w:ascii="Rubik Light" w:eastAsia="Arial" w:hAnsi="Rubik Light" w:cs="Rubik Light"/>
          <w:i/>
          <w:sz w:val="22"/>
          <w:szCs w:val="22"/>
        </w:rPr>
        <w:t>Mitigación del cambio climático</w:t>
      </w:r>
      <w:r w:rsidRPr="003E3759">
        <w:rPr>
          <w:rFonts w:ascii="Rubik Light" w:eastAsia="Arial" w:hAnsi="Rubik Light" w:cs="Rubik Light"/>
          <w:sz w:val="22"/>
          <w:szCs w:val="22"/>
        </w:rPr>
        <w:t xml:space="preserve"> - se considera que una actividad causa un perjuicio significativo a la mitigación del cambio climático si da lugar a considerables emisiones de gases de efecto invernadero (GEI).</w:t>
      </w:r>
    </w:p>
    <w:p w14:paraId="04F17A12" w14:textId="63D04F6E" w:rsidR="003F0943" w:rsidRPr="003E3759" w:rsidRDefault="003F0943" w:rsidP="003F0943">
      <w:pPr>
        <w:numPr>
          <w:ilvl w:val="0"/>
          <w:numId w:val="21"/>
        </w:numPr>
        <w:spacing w:after="120" w:line="276" w:lineRule="auto"/>
        <w:ind w:left="567" w:hanging="357"/>
        <w:jc w:val="both"/>
        <w:rPr>
          <w:rFonts w:ascii="Rubik Light" w:eastAsia="Arial" w:hAnsi="Rubik Light" w:cs="Rubik Light"/>
          <w:sz w:val="22"/>
          <w:szCs w:val="22"/>
          <w:vertAlign w:val="superscript"/>
        </w:rPr>
      </w:pPr>
      <w:r w:rsidRPr="003E3759">
        <w:rPr>
          <w:rFonts w:ascii="Rubik Light" w:eastAsia="Arial" w:hAnsi="Rubik Light" w:cs="Rubik Light"/>
          <w:i/>
          <w:sz w:val="22"/>
          <w:szCs w:val="22"/>
        </w:rPr>
        <w:t>Adaptación al cambio climático</w:t>
      </w:r>
      <w:r w:rsidRPr="003E3759">
        <w:rPr>
          <w:rFonts w:ascii="Rubik Light" w:eastAsia="Arial" w:hAnsi="Rubik Light" w:cs="Rubik Light"/>
          <w:sz w:val="22"/>
          <w:szCs w:val="22"/>
        </w:rPr>
        <w:t xml:space="preserve"> - se considera que una actividad causa un perjuicio significativo a la adaptación al cambio climático si provoca un aumento de los efectos adversos de las condiciones climáticas actuales y de las previstas en el futuro, sobre sí misma o en las personas, la naturaleza o los activo</w:t>
      </w:r>
    </w:p>
    <w:p w14:paraId="3EE4BD69" w14:textId="77777777" w:rsidR="003F0943" w:rsidRPr="003E3759" w:rsidRDefault="003F0943" w:rsidP="003F0943">
      <w:pPr>
        <w:numPr>
          <w:ilvl w:val="0"/>
          <w:numId w:val="21"/>
        </w:numPr>
        <w:spacing w:after="120" w:line="276" w:lineRule="auto"/>
        <w:ind w:left="567" w:hanging="357"/>
        <w:jc w:val="both"/>
        <w:rPr>
          <w:rFonts w:ascii="Rubik Light" w:eastAsia="Arial" w:hAnsi="Rubik Light" w:cs="Rubik Light"/>
          <w:sz w:val="22"/>
          <w:szCs w:val="22"/>
        </w:rPr>
      </w:pPr>
      <w:r w:rsidRPr="003E3759">
        <w:rPr>
          <w:rFonts w:ascii="Rubik Light" w:eastAsia="Arial" w:hAnsi="Rubik Light" w:cs="Rubik Light"/>
          <w:i/>
          <w:sz w:val="22"/>
          <w:szCs w:val="22"/>
        </w:rPr>
        <w:t xml:space="preserve">Uso sostenible y protección de los recursos hídricos y marinos </w:t>
      </w:r>
      <w:r w:rsidRPr="003E3759">
        <w:rPr>
          <w:rFonts w:ascii="Rubik Light" w:eastAsia="Arial" w:hAnsi="Rubik Light" w:cs="Rubik Light"/>
          <w:sz w:val="22"/>
          <w:szCs w:val="22"/>
        </w:rPr>
        <w:t>- se considera que una actividad causa un perjuicio significativo a la utilización y protección sostenibles de los recursos hídricos y marinos si va en detrimento del buen estado o del buen potencial ecológico de las masas de agua, incluidas las superficiales y subterráneas, y del buen estado ecológico de las aguas marinas.</w:t>
      </w:r>
    </w:p>
    <w:p w14:paraId="684339D0" w14:textId="77777777" w:rsidR="003F0943" w:rsidRPr="003E3759" w:rsidRDefault="003F0943" w:rsidP="003F0943">
      <w:pPr>
        <w:numPr>
          <w:ilvl w:val="0"/>
          <w:numId w:val="21"/>
        </w:numPr>
        <w:spacing w:after="120" w:line="276" w:lineRule="auto"/>
        <w:ind w:left="567" w:hanging="357"/>
        <w:jc w:val="both"/>
        <w:rPr>
          <w:rFonts w:ascii="Rubik Light" w:eastAsia="Arial" w:hAnsi="Rubik Light" w:cs="Rubik Light"/>
          <w:sz w:val="22"/>
          <w:szCs w:val="22"/>
        </w:rPr>
      </w:pPr>
      <w:r w:rsidRPr="003E3759">
        <w:rPr>
          <w:rFonts w:ascii="Rubik Light" w:eastAsia="Arial" w:hAnsi="Rubik Light" w:cs="Rubik Light"/>
          <w:i/>
          <w:sz w:val="22"/>
          <w:szCs w:val="22"/>
        </w:rPr>
        <w:t>Economía circular, incluidos la prevención y el reciclado de residuos</w:t>
      </w:r>
      <w:r w:rsidRPr="003E3759">
        <w:rPr>
          <w:rFonts w:ascii="Rubik Light" w:eastAsia="Arial" w:hAnsi="Rubik Light" w:cs="Rubik Light"/>
          <w:sz w:val="22"/>
          <w:szCs w:val="22"/>
        </w:rPr>
        <w:t xml:space="preserve"> - se considera que una actividad causa un perjuicio significativo a la economía circular, incluidos la prevención y el reciclado de residuos, si genera importantes ineficiencias en el uso de materiales o en el uso directo o indirecto de recursos naturales; si da lugar a un aumento significativo de la generación, incineración o eliminación de residuos; o si la eliminación de residuos a largo plazo puede </w:t>
      </w:r>
      <w:r w:rsidRPr="003E3759">
        <w:rPr>
          <w:rFonts w:ascii="Rubik Light" w:eastAsia="Arial" w:hAnsi="Rubik Light" w:cs="Rubik Light"/>
          <w:sz w:val="22"/>
          <w:szCs w:val="22"/>
        </w:rPr>
        <w:lastRenderedPageBreak/>
        <w:t xml:space="preserve">causar un perjuicio significativo y a largo plazo para el medio ambiente. </w:t>
      </w:r>
    </w:p>
    <w:p w14:paraId="760DC424" w14:textId="77777777" w:rsidR="003F0943" w:rsidRPr="003E3759" w:rsidRDefault="003F0943" w:rsidP="003F0943">
      <w:pPr>
        <w:numPr>
          <w:ilvl w:val="0"/>
          <w:numId w:val="21"/>
        </w:numPr>
        <w:spacing w:after="120" w:line="276" w:lineRule="auto"/>
        <w:ind w:left="567" w:hanging="357"/>
        <w:jc w:val="both"/>
        <w:rPr>
          <w:rFonts w:ascii="Rubik Light" w:eastAsia="Arial" w:hAnsi="Rubik Light" w:cs="Rubik Light"/>
          <w:sz w:val="22"/>
          <w:szCs w:val="22"/>
        </w:rPr>
      </w:pPr>
      <w:r w:rsidRPr="003E3759">
        <w:rPr>
          <w:rFonts w:ascii="Rubik Light" w:eastAsia="Arial" w:hAnsi="Rubik Light" w:cs="Rubik Light"/>
          <w:i/>
          <w:sz w:val="22"/>
          <w:szCs w:val="22"/>
        </w:rPr>
        <w:t xml:space="preserve">Prevención y control de la contaminación a la atmósfera, el agua o el suelo </w:t>
      </w:r>
      <w:r w:rsidRPr="003E3759">
        <w:rPr>
          <w:rFonts w:ascii="Rubik Light" w:eastAsia="Arial" w:hAnsi="Rubik Light" w:cs="Rubik Light"/>
          <w:sz w:val="22"/>
          <w:szCs w:val="22"/>
        </w:rPr>
        <w:t xml:space="preserve">- se considera que una actividad causa un perjuicio significativo a la prevención y el control de la contaminación cuando da lugar a un aumento significativo de las emisiones de contaminantes a la atmósfera, el agua o el suelo. </w:t>
      </w:r>
    </w:p>
    <w:p w14:paraId="3018D9A3" w14:textId="5AC20FC0" w:rsidR="008F52CA" w:rsidRPr="003E3759" w:rsidRDefault="003F0943" w:rsidP="008F52CA">
      <w:pPr>
        <w:numPr>
          <w:ilvl w:val="0"/>
          <w:numId w:val="21"/>
        </w:numPr>
        <w:spacing w:after="120" w:line="276" w:lineRule="auto"/>
        <w:ind w:left="567" w:hanging="357"/>
        <w:jc w:val="both"/>
        <w:rPr>
          <w:rFonts w:ascii="Rubik Light" w:eastAsia="Arial" w:hAnsi="Rubik Light" w:cs="Rubik Light"/>
          <w:sz w:val="22"/>
          <w:szCs w:val="22"/>
        </w:rPr>
      </w:pPr>
      <w:r w:rsidRPr="003E3759">
        <w:rPr>
          <w:rFonts w:ascii="Rubik Light" w:eastAsia="Arial" w:hAnsi="Rubik Light" w:cs="Rubik Light"/>
          <w:i/>
          <w:sz w:val="22"/>
          <w:szCs w:val="22"/>
        </w:rPr>
        <w:t xml:space="preserve">Protección y restauración de la biodiversidad y los ecosistemas - </w:t>
      </w:r>
      <w:r w:rsidRPr="003E3759">
        <w:rPr>
          <w:rFonts w:ascii="Rubik Light" w:eastAsia="Arial" w:hAnsi="Rubik Light" w:cs="Rubik Light"/>
          <w:sz w:val="22"/>
          <w:szCs w:val="22"/>
        </w:rPr>
        <w:t>se considera que una actividad causa un perjuicio significativo a la protección y restauración de la biodiversidad y los ecosistemas cuando va en gran medida en detrimento de las buenas condiciones y la resiliencia de los ecosistemas, o va en detrimento del estado de conservación de los hábitats y las especies, en particular de aquellos de interés para la Unión.</w:t>
      </w:r>
    </w:p>
    <w:p w14:paraId="61E311EA" w14:textId="77777777" w:rsidR="008F52CA" w:rsidRPr="003E3759" w:rsidRDefault="008F52CA" w:rsidP="008F52CA">
      <w:pPr>
        <w:spacing w:after="120" w:line="276" w:lineRule="auto"/>
        <w:ind w:left="210"/>
        <w:jc w:val="both"/>
        <w:rPr>
          <w:rFonts w:ascii="Rubik Light" w:eastAsia="Arial" w:hAnsi="Rubik Light" w:cs="Rubik Light"/>
          <w:sz w:val="22"/>
          <w:szCs w:val="22"/>
        </w:rPr>
      </w:pPr>
    </w:p>
    <w:p w14:paraId="3ED4B888" w14:textId="7ACBC5BF" w:rsidR="003F0943" w:rsidRPr="003E3759" w:rsidRDefault="003F0943" w:rsidP="008F52CA">
      <w:pPr>
        <w:pStyle w:val="Prrafodelista"/>
        <w:numPr>
          <w:ilvl w:val="0"/>
          <w:numId w:val="26"/>
        </w:numPr>
        <w:spacing w:after="120" w:line="276" w:lineRule="auto"/>
        <w:jc w:val="both"/>
        <w:rPr>
          <w:rFonts w:ascii="Rubik Light" w:eastAsia="Arial" w:hAnsi="Rubik Light" w:cs="Rubik Light"/>
        </w:rPr>
      </w:pPr>
      <w:r w:rsidRPr="003E3759">
        <w:rPr>
          <w:rFonts w:ascii="Rubik Light" w:eastAsia="Arial" w:hAnsi="Rubik Light" w:cs="Rubik Light"/>
          <w:b/>
        </w:rPr>
        <w:t xml:space="preserve">LA ENTIDAD SOLICITANTE </w:t>
      </w:r>
      <w:r w:rsidRPr="003E3759">
        <w:rPr>
          <w:rFonts w:ascii="Rubik Light" w:eastAsia="Arial" w:hAnsi="Rubik Light" w:cs="Rubik Light"/>
          <w:b/>
          <w:u w:val="single"/>
        </w:rPr>
        <w:t>NO DESARROLLA ACTIVIDADES EXCLUIDAS</w:t>
      </w:r>
      <w:r w:rsidRPr="003E3759">
        <w:rPr>
          <w:rFonts w:ascii="Rubik Light" w:eastAsia="Arial" w:hAnsi="Rubik Light" w:cs="Rubik Light"/>
        </w:rPr>
        <w:t xml:space="preserve"> según lo indicado por la Guía técnica sobre la aplicación del principio de «no causar un perjuicio significativo» en virtud del Reglamento relativo al Mecanismo de Recuperación y Resiliencia.</w:t>
      </w:r>
    </w:p>
    <w:p w14:paraId="185DA2E7" w14:textId="5939CFF8" w:rsidR="008F52CA" w:rsidRPr="003E3759" w:rsidRDefault="003F0943" w:rsidP="008F52CA">
      <w:pPr>
        <w:spacing w:after="120" w:line="276" w:lineRule="auto"/>
        <w:ind w:firstLine="360"/>
        <w:jc w:val="both"/>
        <w:rPr>
          <w:rFonts w:ascii="Rubik Light" w:eastAsia="Arial" w:hAnsi="Rubik Light" w:cs="Rubik Light"/>
          <w:sz w:val="22"/>
          <w:szCs w:val="22"/>
        </w:rPr>
      </w:pPr>
      <w:r w:rsidRPr="003E3759">
        <w:rPr>
          <w:rFonts w:ascii="Rubik Light" w:eastAsia="Arial" w:hAnsi="Rubik Light" w:cs="Rubik Light"/>
          <w:sz w:val="22"/>
          <w:szCs w:val="22"/>
        </w:rPr>
        <w:t xml:space="preserve">Las actividades excluidas son: </w:t>
      </w:r>
    </w:p>
    <w:p w14:paraId="0D964BC3" w14:textId="1EB4C7B1" w:rsidR="003F0943" w:rsidRPr="003E3759" w:rsidRDefault="003F0943" w:rsidP="008F52CA">
      <w:pPr>
        <w:numPr>
          <w:ilvl w:val="0"/>
          <w:numId w:val="22"/>
        </w:numPr>
        <w:spacing w:line="276" w:lineRule="auto"/>
        <w:ind w:left="1276" w:hanging="357"/>
        <w:jc w:val="both"/>
        <w:rPr>
          <w:rFonts w:ascii="Rubik Light" w:eastAsia="Arial" w:hAnsi="Rubik Light" w:cs="Rubik Light"/>
          <w:i/>
          <w:sz w:val="22"/>
          <w:szCs w:val="22"/>
        </w:rPr>
      </w:pPr>
      <w:r w:rsidRPr="003E3759">
        <w:rPr>
          <w:rFonts w:ascii="Rubik Light" w:eastAsia="Arial" w:hAnsi="Rubik Light" w:cs="Rubik Light"/>
          <w:i/>
          <w:sz w:val="22"/>
          <w:szCs w:val="22"/>
        </w:rPr>
        <w:t>Refinerías de petróleo</w:t>
      </w:r>
    </w:p>
    <w:p w14:paraId="59E52433" w14:textId="77777777" w:rsidR="003F0943" w:rsidRPr="003E3759" w:rsidRDefault="003F0943" w:rsidP="008F52CA">
      <w:pPr>
        <w:numPr>
          <w:ilvl w:val="0"/>
          <w:numId w:val="22"/>
        </w:numPr>
        <w:spacing w:line="276" w:lineRule="auto"/>
        <w:ind w:left="1276" w:hanging="357"/>
        <w:jc w:val="both"/>
        <w:rPr>
          <w:rFonts w:ascii="Rubik Light" w:eastAsia="Arial" w:hAnsi="Rubik Light" w:cs="Rubik Light"/>
          <w:i/>
          <w:sz w:val="22"/>
          <w:szCs w:val="22"/>
        </w:rPr>
      </w:pPr>
      <w:r w:rsidRPr="003E3759">
        <w:rPr>
          <w:rFonts w:ascii="Rubik Light" w:eastAsia="Arial" w:hAnsi="Rubik Light" w:cs="Rubik Light"/>
          <w:i/>
          <w:sz w:val="22"/>
          <w:szCs w:val="22"/>
        </w:rPr>
        <w:t>Centrales térmicas de carbón y extracción de combustibles fósiles</w:t>
      </w:r>
    </w:p>
    <w:p w14:paraId="46AA9763" w14:textId="77777777" w:rsidR="003F0943" w:rsidRPr="003E3759" w:rsidRDefault="003F0943" w:rsidP="008F52CA">
      <w:pPr>
        <w:numPr>
          <w:ilvl w:val="0"/>
          <w:numId w:val="22"/>
        </w:numPr>
        <w:spacing w:line="276" w:lineRule="auto"/>
        <w:ind w:left="1276" w:hanging="357"/>
        <w:jc w:val="both"/>
        <w:rPr>
          <w:rFonts w:ascii="Rubik Light" w:eastAsia="Arial" w:hAnsi="Rubik Light" w:cs="Rubik Light"/>
          <w:i/>
          <w:sz w:val="22"/>
          <w:szCs w:val="22"/>
        </w:rPr>
      </w:pPr>
      <w:r w:rsidRPr="003E3759">
        <w:rPr>
          <w:rFonts w:ascii="Rubik Light" w:eastAsia="Arial" w:hAnsi="Rubik Light" w:cs="Rubik Light"/>
          <w:i/>
          <w:sz w:val="22"/>
          <w:szCs w:val="22"/>
        </w:rPr>
        <w:t>Generación de electricidad y/o calor utilizando combustibles fósiles y relacionados con su infraestructura de transporte y distribución</w:t>
      </w:r>
    </w:p>
    <w:p w14:paraId="0832E4AF" w14:textId="08048272" w:rsidR="004478C8" w:rsidRPr="003E3759" w:rsidRDefault="003F0943" w:rsidP="004478C8">
      <w:pPr>
        <w:numPr>
          <w:ilvl w:val="0"/>
          <w:numId w:val="22"/>
        </w:numPr>
        <w:spacing w:line="276" w:lineRule="auto"/>
        <w:ind w:left="1276" w:hanging="357"/>
        <w:jc w:val="both"/>
        <w:rPr>
          <w:rFonts w:ascii="Rubik Light" w:eastAsia="Arial" w:hAnsi="Rubik Light" w:cs="Rubik Light"/>
          <w:i/>
          <w:sz w:val="22"/>
          <w:szCs w:val="22"/>
        </w:rPr>
      </w:pPr>
      <w:r w:rsidRPr="003E3759">
        <w:rPr>
          <w:rFonts w:ascii="Rubik Light" w:eastAsia="Arial" w:hAnsi="Rubik Light" w:cs="Rubik Light"/>
          <w:i/>
          <w:sz w:val="22"/>
          <w:szCs w:val="22"/>
        </w:rPr>
        <w:t>Eliminación de desechos (por ejempl</w:t>
      </w:r>
      <w:r w:rsidR="004478C8" w:rsidRPr="003E3759">
        <w:rPr>
          <w:rFonts w:ascii="Rubik Light" w:eastAsia="Arial" w:hAnsi="Rubik Light" w:cs="Rubik Light"/>
          <w:i/>
          <w:sz w:val="22"/>
          <w:szCs w:val="22"/>
        </w:rPr>
        <w:t xml:space="preserve">o, nucleares, que puedan causar </w:t>
      </w:r>
      <w:r w:rsidRPr="003E3759">
        <w:rPr>
          <w:rFonts w:ascii="Rubik Light" w:eastAsia="Arial" w:hAnsi="Rubik Light" w:cs="Rubik Light"/>
          <w:i/>
          <w:sz w:val="22"/>
          <w:szCs w:val="22"/>
        </w:rPr>
        <w:t>daños a largo plazo al medioambiente)</w:t>
      </w:r>
    </w:p>
    <w:p w14:paraId="2660955B" w14:textId="6CC4AC02" w:rsidR="003F0943" w:rsidRPr="003E3759" w:rsidRDefault="004478C8" w:rsidP="008F52CA">
      <w:pPr>
        <w:numPr>
          <w:ilvl w:val="0"/>
          <w:numId w:val="22"/>
        </w:numPr>
        <w:spacing w:line="276" w:lineRule="auto"/>
        <w:ind w:left="1134" w:hanging="216"/>
        <w:jc w:val="both"/>
        <w:rPr>
          <w:rFonts w:ascii="Rubik Light" w:eastAsia="Arial" w:hAnsi="Rubik Light" w:cs="Rubik Light"/>
          <w:i/>
          <w:sz w:val="22"/>
          <w:szCs w:val="22"/>
        </w:rPr>
      </w:pPr>
      <w:r w:rsidRPr="003E3759">
        <w:rPr>
          <w:rFonts w:ascii="Rubik Light" w:eastAsia="Arial" w:hAnsi="Rubik Light" w:cs="Rubik Light"/>
          <w:i/>
          <w:sz w:val="22"/>
          <w:szCs w:val="22"/>
        </w:rPr>
        <w:t xml:space="preserve">  </w:t>
      </w:r>
      <w:r w:rsidR="003F0943" w:rsidRPr="003E3759">
        <w:rPr>
          <w:rFonts w:ascii="Rubik Light" w:eastAsia="Arial" w:hAnsi="Rubik Light" w:cs="Rubik Light"/>
          <w:i/>
          <w:sz w:val="22"/>
          <w:szCs w:val="22"/>
        </w:rPr>
        <w:t xml:space="preserve">Inversiones en instalaciones para la deposición de residuos en vertedero o </w:t>
      </w:r>
      <w:r w:rsidRPr="003E3759">
        <w:rPr>
          <w:rFonts w:ascii="Rubik Light" w:eastAsia="Arial" w:hAnsi="Rubik Light" w:cs="Rubik Light"/>
          <w:i/>
          <w:sz w:val="22"/>
          <w:szCs w:val="22"/>
        </w:rPr>
        <w:t xml:space="preserve"> </w:t>
      </w:r>
      <w:r w:rsidRPr="003E3759">
        <w:rPr>
          <w:rFonts w:ascii="Rubik Light" w:eastAsia="Arial" w:hAnsi="Rubik Light" w:cs="Rubik Light"/>
          <w:i/>
          <w:sz w:val="22"/>
          <w:szCs w:val="22"/>
        </w:rPr>
        <w:br/>
        <w:t xml:space="preserve">  </w:t>
      </w:r>
      <w:r w:rsidR="003F0943" w:rsidRPr="003E3759">
        <w:rPr>
          <w:rFonts w:ascii="Rubik Light" w:eastAsia="Arial" w:hAnsi="Rubik Light" w:cs="Rubik Light"/>
          <w:i/>
          <w:sz w:val="22"/>
          <w:szCs w:val="22"/>
        </w:rPr>
        <w:t xml:space="preserve">inversiones en plantas de tratamiento biológico mecánico (MBT) que </w:t>
      </w:r>
      <w:r w:rsidRPr="003E3759">
        <w:rPr>
          <w:rFonts w:ascii="Rubik Light" w:eastAsia="Arial" w:hAnsi="Rubik Light" w:cs="Rubik Light"/>
          <w:i/>
          <w:sz w:val="22"/>
          <w:szCs w:val="22"/>
        </w:rPr>
        <w:t xml:space="preserve"> </w:t>
      </w:r>
      <w:r w:rsidRPr="003E3759">
        <w:rPr>
          <w:rFonts w:ascii="Rubik Light" w:eastAsia="Arial" w:hAnsi="Rubik Light" w:cs="Rubik Light"/>
          <w:i/>
          <w:sz w:val="22"/>
          <w:szCs w:val="22"/>
        </w:rPr>
        <w:br/>
        <w:t xml:space="preserve"> </w:t>
      </w:r>
      <w:r w:rsidR="003F0943" w:rsidRPr="003E3759">
        <w:rPr>
          <w:rFonts w:ascii="Rubik Light" w:eastAsia="Arial" w:hAnsi="Rubik Light" w:cs="Rubik Light"/>
          <w:i/>
          <w:sz w:val="22"/>
          <w:szCs w:val="22"/>
        </w:rPr>
        <w:t xml:space="preserve">impliquen un aumento de su capacidad o de su vida útil (salvo plantas de </w:t>
      </w:r>
      <w:r w:rsidRPr="003E3759">
        <w:rPr>
          <w:rFonts w:ascii="Rubik Light" w:eastAsia="Arial" w:hAnsi="Rubik Light" w:cs="Rubik Light"/>
          <w:i/>
          <w:sz w:val="22"/>
          <w:szCs w:val="22"/>
        </w:rPr>
        <w:t xml:space="preserve"> </w:t>
      </w:r>
      <w:r w:rsidRPr="003E3759">
        <w:rPr>
          <w:rFonts w:ascii="Rubik Light" w:eastAsia="Arial" w:hAnsi="Rubik Light" w:cs="Rubik Light"/>
          <w:i/>
          <w:sz w:val="22"/>
          <w:szCs w:val="22"/>
        </w:rPr>
        <w:br/>
        <w:t xml:space="preserve"> </w:t>
      </w:r>
      <w:r w:rsidR="003F0943" w:rsidRPr="003E3759">
        <w:rPr>
          <w:rFonts w:ascii="Rubik Light" w:eastAsia="Arial" w:hAnsi="Rubik Light" w:cs="Rubik Light"/>
          <w:i/>
          <w:sz w:val="22"/>
          <w:szCs w:val="22"/>
        </w:rPr>
        <w:t>tratamiento de residuos peligrosos no reciclables)</w:t>
      </w:r>
    </w:p>
    <w:p w14:paraId="596A00C2" w14:textId="189DFA03" w:rsidR="003F0943" w:rsidRPr="003E3759" w:rsidRDefault="004478C8" w:rsidP="004478C8">
      <w:pPr>
        <w:numPr>
          <w:ilvl w:val="0"/>
          <w:numId w:val="22"/>
        </w:numPr>
        <w:spacing w:line="276" w:lineRule="auto"/>
        <w:ind w:left="1134" w:hanging="357"/>
        <w:jc w:val="both"/>
        <w:rPr>
          <w:rFonts w:ascii="Rubik Light" w:eastAsia="Arial" w:hAnsi="Rubik Light" w:cs="Rubik Light"/>
          <w:i/>
          <w:sz w:val="22"/>
          <w:szCs w:val="22"/>
        </w:rPr>
      </w:pPr>
      <w:r w:rsidRPr="003E3759">
        <w:rPr>
          <w:rFonts w:ascii="Rubik Light" w:eastAsia="Arial" w:hAnsi="Rubik Light" w:cs="Rubik Light"/>
          <w:i/>
          <w:sz w:val="22"/>
          <w:szCs w:val="22"/>
        </w:rPr>
        <w:t xml:space="preserve"> </w:t>
      </w:r>
      <w:r w:rsidR="003F0943" w:rsidRPr="003E3759">
        <w:rPr>
          <w:rFonts w:ascii="Rubik Light" w:eastAsia="Arial" w:hAnsi="Rubik Light" w:cs="Rubik Light"/>
          <w:i/>
          <w:sz w:val="22"/>
          <w:szCs w:val="22"/>
        </w:rPr>
        <w:t xml:space="preserve">Actividades cubiertas por el régimen de comercio de derechos de emisión </w:t>
      </w:r>
      <w:r w:rsidRPr="003E3759">
        <w:rPr>
          <w:rFonts w:ascii="Rubik Light" w:eastAsia="Arial" w:hAnsi="Rubik Light" w:cs="Rubik Light"/>
          <w:i/>
          <w:sz w:val="22"/>
          <w:szCs w:val="22"/>
        </w:rPr>
        <w:t xml:space="preserve"> </w:t>
      </w:r>
      <w:r w:rsidRPr="003E3759">
        <w:rPr>
          <w:rFonts w:ascii="Rubik Light" w:eastAsia="Arial" w:hAnsi="Rubik Light" w:cs="Rubik Light"/>
          <w:i/>
          <w:sz w:val="22"/>
          <w:szCs w:val="22"/>
        </w:rPr>
        <w:br/>
        <w:t xml:space="preserve"> </w:t>
      </w:r>
      <w:r w:rsidR="003F0943" w:rsidRPr="003E3759">
        <w:rPr>
          <w:rFonts w:ascii="Rubik Light" w:eastAsia="Arial" w:hAnsi="Rubik Light" w:cs="Rubik Light"/>
          <w:i/>
          <w:sz w:val="22"/>
          <w:szCs w:val="22"/>
        </w:rPr>
        <w:t xml:space="preserve">de la UE (según el Anexo I de la Ley 1/2005 de 9 de marzo, por la que se </w:t>
      </w:r>
      <w:r w:rsidRPr="003E3759">
        <w:rPr>
          <w:rFonts w:ascii="Rubik Light" w:eastAsia="Arial" w:hAnsi="Rubik Light" w:cs="Rubik Light"/>
          <w:i/>
          <w:sz w:val="22"/>
          <w:szCs w:val="22"/>
        </w:rPr>
        <w:t xml:space="preserve"> </w:t>
      </w:r>
      <w:r w:rsidRPr="003E3759">
        <w:rPr>
          <w:rFonts w:ascii="Rubik Light" w:eastAsia="Arial" w:hAnsi="Rubik Light" w:cs="Rubik Light"/>
          <w:i/>
          <w:sz w:val="22"/>
          <w:szCs w:val="22"/>
        </w:rPr>
        <w:br/>
      </w:r>
      <w:r w:rsidRPr="003E3759">
        <w:rPr>
          <w:rFonts w:ascii="Rubik Light" w:eastAsia="Arial" w:hAnsi="Rubik Light" w:cs="Rubik Light"/>
          <w:i/>
          <w:sz w:val="22"/>
          <w:szCs w:val="22"/>
        </w:rPr>
        <w:lastRenderedPageBreak/>
        <w:t xml:space="preserve"> </w:t>
      </w:r>
      <w:r w:rsidR="003F0943" w:rsidRPr="003E3759">
        <w:rPr>
          <w:rFonts w:ascii="Rubik Light" w:eastAsia="Arial" w:hAnsi="Rubik Light" w:cs="Rubik Light"/>
          <w:i/>
          <w:sz w:val="22"/>
          <w:szCs w:val="22"/>
        </w:rPr>
        <w:t xml:space="preserve">regula el régimen del comercio de derechos de emisión de gases de efecto </w:t>
      </w:r>
      <w:r w:rsidRPr="003E3759">
        <w:rPr>
          <w:rFonts w:ascii="Rubik Light" w:eastAsia="Arial" w:hAnsi="Rubik Light" w:cs="Rubik Light"/>
          <w:i/>
          <w:sz w:val="22"/>
          <w:szCs w:val="22"/>
        </w:rPr>
        <w:br/>
        <w:t xml:space="preserve"> </w:t>
      </w:r>
      <w:r w:rsidR="003F0943" w:rsidRPr="003E3759">
        <w:rPr>
          <w:rFonts w:ascii="Rubik Light" w:eastAsia="Arial" w:hAnsi="Rubik Light" w:cs="Rubik Light"/>
          <w:i/>
          <w:sz w:val="22"/>
          <w:szCs w:val="22"/>
        </w:rPr>
        <w:t>invernadero.</w:t>
      </w:r>
    </w:p>
    <w:p w14:paraId="52ABFDD9" w14:textId="77777777" w:rsidR="003F0943" w:rsidRPr="003E3759" w:rsidRDefault="003F0943" w:rsidP="003F0943">
      <w:pPr>
        <w:spacing w:line="276" w:lineRule="auto"/>
        <w:ind w:left="567"/>
        <w:jc w:val="both"/>
        <w:rPr>
          <w:rFonts w:ascii="Rubik Light" w:eastAsia="Arial" w:hAnsi="Rubik Light" w:cs="Rubik Light"/>
          <w:i/>
          <w:sz w:val="22"/>
          <w:szCs w:val="22"/>
        </w:rPr>
      </w:pPr>
    </w:p>
    <w:p w14:paraId="2B3652D6" w14:textId="7FBBA049" w:rsidR="003F0943" w:rsidRPr="003E3759" w:rsidRDefault="003F0943" w:rsidP="008F52CA">
      <w:pPr>
        <w:numPr>
          <w:ilvl w:val="0"/>
          <w:numId w:val="26"/>
        </w:numPr>
        <w:spacing w:after="120" w:line="276" w:lineRule="auto"/>
        <w:contextualSpacing/>
        <w:jc w:val="both"/>
        <w:rPr>
          <w:rFonts w:ascii="Rubik Light" w:eastAsia="Arial" w:hAnsi="Rubik Light" w:cs="Rubik Light"/>
          <w:b/>
          <w:sz w:val="22"/>
          <w:szCs w:val="22"/>
        </w:rPr>
      </w:pPr>
      <w:r w:rsidRPr="003E3759">
        <w:rPr>
          <w:rFonts w:ascii="Rubik Light" w:eastAsia="Arial" w:hAnsi="Rubik Light" w:cs="Rubik Light"/>
          <w:b/>
          <w:sz w:val="22"/>
          <w:szCs w:val="22"/>
        </w:rPr>
        <w:t xml:space="preserve">LA ENTIDAD SOLICITANTE </w:t>
      </w:r>
      <w:r w:rsidRPr="003E3759">
        <w:rPr>
          <w:rFonts w:ascii="Rubik Light" w:eastAsia="Arial" w:hAnsi="Rubik Light" w:cs="Rubik Light"/>
          <w:b/>
          <w:sz w:val="22"/>
          <w:szCs w:val="22"/>
          <w:u w:val="single"/>
        </w:rPr>
        <w:t>NO PREVÉ EFECTOS DIRECTOS</w:t>
      </w:r>
      <w:r w:rsidRPr="003E3759">
        <w:rPr>
          <w:rFonts w:ascii="Rubik Light" w:eastAsia="Arial" w:hAnsi="Rubik Light" w:cs="Rubik Light"/>
          <w:b/>
          <w:sz w:val="22"/>
          <w:szCs w:val="22"/>
        </w:rPr>
        <w:t xml:space="preserve"> DEL PROYECTO O ACTIVIDAD SOBRE EL MEDIOAMBIENTE, NI </w:t>
      </w:r>
      <w:r w:rsidRPr="003E3759">
        <w:rPr>
          <w:rFonts w:ascii="Rubik Light" w:eastAsia="Arial" w:hAnsi="Rubik Light" w:cs="Rubik Light"/>
          <w:b/>
          <w:sz w:val="22"/>
          <w:szCs w:val="22"/>
          <w:u w:val="single"/>
        </w:rPr>
        <w:t>EFECTOS INDIRECTOS PRIMARIOS</w:t>
      </w:r>
      <w:r w:rsidRPr="003E3759">
        <w:rPr>
          <w:rFonts w:ascii="Rubik Light" w:eastAsia="Arial" w:hAnsi="Rubik Light" w:cs="Rubik Light"/>
          <w:sz w:val="22"/>
          <w:szCs w:val="22"/>
        </w:rPr>
        <w:t>, entendiendo como tales aquéllos que pudieran materializarse</w:t>
      </w:r>
      <w:r w:rsidR="008F52CA" w:rsidRPr="003E3759">
        <w:rPr>
          <w:rFonts w:ascii="Rubik Light" w:eastAsia="Arial" w:hAnsi="Rubik Light" w:cs="Rubik Light"/>
          <w:sz w:val="22"/>
          <w:szCs w:val="22"/>
        </w:rPr>
        <w:t xml:space="preserve"> </w:t>
      </w:r>
      <w:r w:rsidRPr="003E3759">
        <w:rPr>
          <w:rFonts w:ascii="Rubik Light" w:eastAsia="Arial" w:hAnsi="Rubik Light" w:cs="Rubik Light"/>
          <w:sz w:val="22"/>
          <w:szCs w:val="22"/>
        </w:rPr>
        <w:t>tras su finalización, una vez realizado el proyecto o actividad.</w:t>
      </w:r>
    </w:p>
    <w:p w14:paraId="5E14AFE3" w14:textId="77777777" w:rsidR="003F0943" w:rsidRPr="003E3759" w:rsidRDefault="003F0943" w:rsidP="003F0943">
      <w:pPr>
        <w:spacing w:after="120" w:line="276" w:lineRule="auto"/>
        <w:jc w:val="both"/>
        <w:rPr>
          <w:rFonts w:ascii="Rubik Light" w:eastAsia="Arial" w:hAnsi="Rubik Light" w:cs="Rubik Light"/>
          <w:sz w:val="22"/>
          <w:szCs w:val="22"/>
        </w:rPr>
      </w:pPr>
    </w:p>
    <w:p w14:paraId="5AAC70A1" w14:textId="77777777" w:rsidR="003F0943" w:rsidRPr="003E3759" w:rsidRDefault="003F0943" w:rsidP="003F0943">
      <w:pPr>
        <w:spacing w:after="120" w:line="276" w:lineRule="auto"/>
        <w:jc w:val="both"/>
        <w:rPr>
          <w:rFonts w:ascii="Rubik Light" w:eastAsia="Arial" w:hAnsi="Rubik Light" w:cs="Rubik Light"/>
          <w:sz w:val="22"/>
          <w:szCs w:val="22"/>
        </w:rPr>
      </w:pPr>
      <w:r w:rsidRPr="003E3759">
        <w:rPr>
          <w:rFonts w:ascii="Rubik Light" w:eastAsia="Arial" w:hAnsi="Rubik Light" w:cs="Rubik Light"/>
          <w:sz w:val="22"/>
          <w:szCs w:val="22"/>
        </w:rPr>
        <w:t>El incumplimiento de alguno de los requisitos establecido en la presente declaración dará, previo el oportuno procedimiento de reintegro, a la obligación de devolver las ayudas percibidas y los intereses de demora correspondientes.</w:t>
      </w:r>
    </w:p>
    <w:p w14:paraId="2469B02C" w14:textId="77777777" w:rsidR="003F0943" w:rsidRPr="003E3759" w:rsidRDefault="003F0943" w:rsidP="003F0943">
      <w:pPr>
        <w:rPr>
          <w:rFonts w:ascii="Rubik Light" w:hAnsi="Rubik Light" w:cs="Rubik Light"/>
          <w:sz w:val="22"/>
          <w:szCs w:val="22"/>
        </w:rPr>
      </w:pPr>
      <w:r w:rsidRPr="003E3759">
        <w:rPr>
          <w:rFonts w:ascii="Rubik Light" w:hAnsi="Rubik Light" w:cs="Rubik Light"/>
          <w:sz w:val="22"/>
          <w:szCs w:val="22"/>
        </w:rPr>
        <w:t xml:space="preserve">En ……………………………… a … de …………………… de ………… </w:t>
      </w:r>
    </w:p>
    <w:p w14:paraId="0598601B" w14:textId="77777777" w:rsidR="003F0943" w:rsidRPr="003E3759" w:rsidRDefault="003F0943" w:rsidP="003F0943">
      <w:pPr>
        <w:rPr>
          <w:rFonts w:ascii="Rubik Light" w:hAnsi="Rubik Light" w:cs="Rubik Light"/>
          <w:sz w:val="22"/>
          <w:szCs w:val="22"/>
        </w:rPr>
      </w:pPr>
    </w:p>
    <w:p w14:paraId="41AB904D" w14:textId="77777777" w:rsidR="003F0943" w:rsidRPr="003E3759" w:rsidRDefault="003F0943" w:rsidP="003F0943">
      <w:pPr>
        <w:rPr>
          <w:rFonts w:ascii="Rubik Light" w:hAnsi="Rubik Light" w:cs="Rubik Light"/>
          <w:sz w:val="22"/>
          <w:szCs w:val="22"/>
        </w:rPr>
      </w:pPr>
    </w:p>
    <w:p w14:paraId="6DCB9F0E" w14:textId="77777777" w:rsidR="003F0943" w:rsidRPr="003E3759" w:rsidRDefault="003F0943" w:rsidP="003F0943">
      <w:pPr>
        <w:rPr>
          <w:rFonts w:ascii="Rubik Light" w:hAnsi="Rubik Light" w:cs="Rubik Light"/>
          <w:sz w:val="22"/>
          <w:szCs w:val="22"/>
        </w:rPr>
      </w:pPr>
    </w:p>
    <w:p w14:paraId="37A1C80F" w14:textId="023D04CF" w:rsidR="003F0943" w:rsidRPr="003E3759" w:rsidRDefault="003F0943" w:rsidP="003F0943">
      <w:pPr>
        <w:rPr>
          <w:rFonts w:ascii="Rubik Light" w:hAnsi="Rubik Light" w:cs="Rubik Light"/>
          <w:sz w:val="22"/>
          <w:szCs w:val="22"/>
        </w:rPr>
      </w:pPr>
      <w:r w:rsidRPr="003E3759">
        <w:rPr>
          <w:rFonts w:ascii="Rubik Light" w:hAnsi="Rubik Light" w:cs="Rubik Light"/>
          <w:sz w:val="22"/>
          <w:szCs w:val="22"/>
        </w:rPr>
        <w:t>(Firma</w:t>
      </w:r>
      <w:r w:rsidR="00631E3E" w:rsidRPr="003E3759">
        <w:rPr>
          <w:rFonts w:ascii="Rubik Light" w:hAnsi="Rubik Light" w:cs="Rubik Light"/>
          <w:sz w:val="22"/>
          <w:szCs w:val="22"/>
        </w:rPr>
        <w:t xml:space="preserve"> electrónica</w:t>
      </w:r>
      <w:r w:rsidRPr="003E3759">
        <w:rPr>
          <w:rFonts w:ascii="Rubik Light" w:hAnsi="Rubik Light" w:cs="Rubik Light"/>
          <w:sz w:val="22"/>
          <w:szCs w:val="22"/>
        </w:rPr>
        <w:t xml:space="preserve"> del solicitante o del representante de la entidad solicitante)</w:t>
      </w:r>
    </w:p>
    <w:p w14:paraId="5484B78C" w14:textId="77777777" w:rsidR="003F0943" w:rsidRPr="003E3759" w:rsidRDefault="003F0943" w:rsidP="003F0943">
      <w:pPr>
        <w:rPr>
          <w:rFonts w:ascii="Rubik Light" w:hAnsi="Rubik Light" w:cs="Rubik Light"/>
          <w:sz w:val="22"/>
          <w:szCs w:val="22"/>
        </w:rPr>
      </w:pPr>
      <w:r w:rsidRPr="003E3759">
        <w:rPr>
          <w:rFonts w:ascii="Rubik Light" w:hAnsi="Rubik Light" w:cs="Rubik Light"/>
          <w:sz w:val="22"/>
          <w:szCs w:val="22"/>
        </w:rPr>
        <w:t>Nombre y cargo</w:t>
      </w:r>
    </w:p>
    <w:p w14:paraId="0282565F" w14:textId="77777777" w:rsidR="003F0943" w:rsidRPr="003E3759" w:rsidRDefault="003F0943" w:rsidP="003F0943">
      <w:pPr>
        <w:spacing w:after="120" w:line="276" w:lineRule="auto"/>
        <w:jc w:val="both"/>
        <w:rPr>
          <w:rFonts w:ascii="Rubik Light" w:hAnsi="Rubik Light" w:cs="Rubik Light"/>
          <w:sz w:val="22"/>
          <w:szCs w:val="22"/>
        </w:rPr>
      </w:pPr>
    </w:p>
    <w:p w14:paraId="5D382C30" w14:textId="77777777" w:rsidR="003F0943" w:rsidRPr="003E3759" w:rsidRDefault="003F0943" w:rsidP="003F0943">
      <w:pPr>
        <w:rPr>
          <w:rFonts w:ascii="Rubik Light" w:hAnsi="Rubik Light" w:cs="Rubik Light"/>
          <w:sz w:val="22"/>
          <w:szCs w:val="22"/>
        </w:rPr>
      </w:pPr>
    </w:p>
    <w:p w14:paraId="4F0417B0" w14:textId="77777777" w:rsidR="003F0943" w:rsidRPr="003E3759" w:rsidRDefault="003F0943" w:rsidP="003F0943">
      <w:pPr>
        <w:rPr>
          <w:rFonts w:ascii="Rubik Light" w:hAnsi="Rubik Light" w:cs="Rubik Light"/>
          <w:sz w:val="22"/>
          <w:szCs w:val="22"/>
        </w:rPr>
      </w:pPr>
      <w:bookmarkStart w:id="0" w:name="_GoBack"/>
    </w:p>
    <w:bookmarkEnd w:id="0"/>
    <w:p w14:paraId="6B0D9B25" w14:textId="77777777" w:rsidR="003F0943" w:rsidRPr="003E3759" w:rsidRDefault="003F0943" w:rsidP="003F0943">
      <w:pPr>
        <w:rPr>
          <w:rFonts w:ascii="Rubik Light" w:hAnsi="Rubik Light" w:cs="Rubik Light"/>
          <w:sz w:val="22"/>
          <w:szCs w:val="22"/>
        </w:rPr>
      </w:pPr>
    </w:p>
    <w:p w14:paraId="0405BCFA" w14:textId="74878648" w:rsidR="003F0943" w:rsidRPr="003E3759" w:rsidRDefault="003F0943" w:rsidP="003F0943">
      <w:pPr>
        <w:rPr>
          <w:rFonts w:ascii="Rubik Light" w:hAnsi="Rubik Light" w:cs="Rubik Light"/>
          <w:sz w:val="22"/>
          <w:szCs w:val="22"/>
        </w:rPr>
      </w:pPr>
    </w:p>
    <w:p w14:paraId="6B2F70E6" w14:textId="3C14FC06" w:rsidR="003F0943" w:rsidRPr="003E3759" w:rsidRDefault="003F0943" w:rsidP="003F0943">
      <w:pPr>
        <w:rPr>
          <w:rFonts w:ascii="Rubik Light" w:hAnsi="Rubik Light" w:cs="Rubik Light"/>
          <w:sz w:val="22"/>
          <w:szCs w:val="22"/>
        </w:rPr>
      </w:pPr>
    </w:p>
    <w:p w14:paraId="160B1C98" w14:textId="3FD16781" w:rsidR="003F0943" w:rsidRPr="003E3759" w:rsidRDefault="003F0943" w:rsidP="003F0943">
      <w:pPr>
        <w:rPr>
          <w:rFonts w:ascii="Rubik Light" w:hAnsi="Rubik Light" w:cs="Rubik Light"/>
        </w:rPr>
      </w:pPr>
    </w:p>
    <w:p w14:paraId="493BA6B8" w14:textId="4C158F82" w:rsidR="004478C8" w:rsidRPr="003E3759" w:rsidRDefault="004478C8" w:rsidP="004478C8">
      <w:pPr>
        <w:autoSpaceDE w:val="0"/>
        <w:autoSpaceDN w:val="0"/>
        <w:adjustRightInd w:val="0"/>
        <w:jc w:val="both"/>
        <w:rPr>
          <w:rFonts w:ascii="Rubik Light" w:hAnsi="Rubik Light" w:cs="Rubik Light"/>
        </w:rPr>
      </w:pPr>
    </w:p>
    <w:p w14:paraId="0DF4777E" w14:textId="74D5CF76" w:rsidR="004478C8" w:rsidRPr="003E3759" w:rsidRDefault="004478C8" w:rsidP="004478C8">
      <w:pPr>
        <w:autoSpaceDE w:val="0"/>
        <w:autoSpaceDN w:val="0"/>
        <w:adjustRightInd w:val="0"/>
        <w:jc w:val="both"/>
        <w:rPr>
          <w:rFonts w:ascii="Rubik Light" w:hAnsi="Rubik Light" w:cs="Rubik Light"/>
          <w:sz w:val="22"/>
        </w:rPr>
      </w:pPr>
    </w:p>
    <w:p w14:paraId="78E43B9D" w14:textId="53A7A4E8" w:rsidR="004478C8" w:rsidRPr="003E3759" w:rsidRDefault="004478C8" w:rsidP="004478C8">
      <w:pPr>
        <w:autoSpaceDE w:val="0"/>
        <w:autoSpaceDN w:val="0"/>
        <w:adjustRightInd w:val="0"/>
        <w:jc w:val="both"/>
        <w:rPr>
          <w:rFonts w:ascii="Rubik Light" w:hAnsi="Rubik Light" w:cs="Rubik Light"/>
          <w:sz w:val="22"/>
        </w:rPr>
      </w:pPr>
    </w:p>
    <w:p w14:paraId="22246B99" w14:textId="5F7CA670" w:rsidR="004478C8" w:rsidRPr="003E3759" w:rsidRDefault="004478C8" w:rsidP="004478C8">
      <w:pPr>
        <w:autoSpaceDE w:val="0"/>
        <w:autoSpaceDN w:val="0"/>
        <w:adjustRightInd w:val="0"/>
        <w:jc w:val="both"/>
        <w:rPr>
          <w:rFonts w:ascii="Rubik Light" w:hAnsi="Rubik Light" w:cs="Rubik Light"/>
          <w:sz w:val="22"/>
        </w:rPr>
      </w:pPr>
      <w:r w:rsidRPr="003E3759">
        <w:rPr>
          <w:rFonts w:ascii="Rubik Light" w:hAnsi="Rubik Light" w:cs="Rubik Light"/>
          <w:noProof/>
          <w:sz w:val="22"/>
          <w:lang w:val="es-ES"/>
        </w:rPr>
        <mc:AlternateContent>
          <mc:Choice Requires="wps">
            <w:drawing>
              <wp:anchor distT="0" distB="0" distL="114300" distR="114300" simplePos="0" relativeHeight="251659264" behindDoc="0" locked="0" layoutInCell="1" allowOverlap="1" wp14:anchorId="211826D3" wp14:editId="0CD5AE11">
                <wp:simplePos x="0" y="0"/>
                <wp:positionH relativeFrom="margin">
                  <wp:align>left</wp:align>
                </wp:positionH>
                <wp:positionV relativeFrom="paragraph">
                  <wp:posOffset>76199</wp:posOffset>
                </wp:positionV>
                <wp:extent cx="1257300" cy="95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12573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22531"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9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" strokecolor="#4579b8 [3044]">
                <w10:wrap anchorx="margin"/>
              </v:line>
            </w:pict>
          </mc:Fallback>
        </mc:AlternateContent>
      </w:r>
    </w:p>
    <w:p w14:paraId="5110408C" w14:textId="16A488F5" w:rsidR="004478C8" w:rsidRPr="003E3759" w:rsidRDefault="004478C8" w:rsidP="004478C8">
      <w:pPr>
        <w:autoSpaceDE w:val="0"/>
        <w:autoSpaceDN w:val="0"/>
        <w:adjustRightInd w:val="0"/>
        <w:jc w:val="both"/>
        <w:rPr>
          <w:rFonts w:ascii="Rubik Light" w:hAnsi="Rubik Light" w:cs="Rubik Light"/>
          <w:color w:val="000000"/>
          <w:sz w:val="18"/>
          <w:szCs w:val="16"/>
        </w:rPr>
      </w:pPr>
      <w:r w:rsidRPr="003E3759">
        <w:rPr>
          <w:rStyle w:val="Refdenotaalpie"/>
          <w:rFonts w:ascii="Rubik Light" w:hAnsi="Rubik Light" w:cs="Rubik Light"/>
          <w:sz w:val="18"/>
          <w:szCs w:val="16"/>
        </w:rPr>
        <w:t>1</w:t>
      </w:r>
      <w:r w:rsidRPr="003E3759">
        <w:rPr>
          <w:rFonts w:ascii="Rubik Light" w:hAnsi="Rubik Light" w:cs="Rubik Light"/>
          <w:sz w:val="18"/>
          <w:szCs w:val="16"/>
        </w:rPr>
        <w:t xml:space="preserve"> </w:t>
      </w:r>
      <w:r w:rsidRPr="003E3759">
        <w:rPr>
          <w:rFonts w:ascii="Rubik Light" w:hAnsi="Rubik Light" w:cs="Rubik Light"/>
          <w:color w:val="000000"/>
          <w:sz w:val="18"/>
          <w:szCs w:val="16"/>
        </w:rPr>
        <w:t xml:space="preserve">Excepto los proyectos en el marco de esta medida relacionados con la generación de electricidad y/o calor utilizando gas natural, así como con la infraestructura de transporte y distribución conexa, que cumplan las condiciones establecidas en el anexo III de la Guía técnica sobre la aplicación del principio de «no causar un perjuicio significativo» (DO C 58 de 18.2.2021, p. 1). </w:t>
      </w:r>
    </w:p>
    <w:p w14:paraId="2CCDA766" w14:textId="77777777" w:rsidR="004478C8" w:rsidRPr="003E3759" w:rsidRDefault="004478C8" w:rsidP="004478C8">
      <w:pPr>
        <w:autoSpaceDE w:val="0"/>
        <w:autoSpaceDN w:val="0"/>
        <w:adjustRightInd w:val="0"/>
        <w:jc w:val="both"/>
        <w:rPr>
          <w:rFonts w:ascii="Rubik Light" w:hAnsi="Rubik Light" w:cs="Rubik Light"/>
          <w:color w:val="000000"/>
          <w:sz w:val="18"/>
          <w:szCs w:val="16"/>
          <w:vertAlign w:val="superscript"/>
        </w:rPr>
      </w:pPr>
    </w:p>
    <w:p w14:paraId="112DEF74" w14:textId="20B3DA6D" w:rsidR="004478C8" w:rsidRPr="003E3759" w:rsidRDefault="004478C8" w:rsidP="004478C8">
      <w:pPr>
        <w:autoSpaceDE w:val="0"/>
        <w:autoSpaceDN w:val="0"/>
        <w:adjustRightInd w:val="0"/>
        <w:jc w:val="both"/>
        <w:rPr>
          <w:rFonts w:ascii="Rubik Light" w:hAnsi="Rubik Light" w:cs="Rubik Light"/>
          <w:color w:val="000000"/>
          <w:sz w:val="18"/>
          <w:szCs w:val="16"/>
        </w:rPr>
      </w:pPr>
      <w:r w:rsidRPr="003E3759">
        <w:rPr>
          <w:rFonts w:ascii="Rubik Light" w:hAnsi="Rubik Light" w:cs="Rubik Light"/>
          <w:color w:val="000000"/>
          <w:sz w:val="18"/>
          <w:szCs w:val="16"/>
          <w:vertAlign w:val="superscript"/>
        </w:rPr>
        <w:t>2</w:t>
      </w:r>
      <w:r w:rsidRPr="003E3759">
        <w:rPr>
          <w:rFonts w:ascii="Rubik Light" w:hAnsi="Rubik Light" w:cs="Rubik Light"/>
          <w:color w:val="000000"/>
          <w:sz w:val="18"/>
          <w:szCs w:val="16"/>
        </w:rPr>
        <w:t xml:space="preserve">Cuando se prevea que las emisiones de gases de efecto invernadero provocadas por la actividad subvencionada no van a ser significativamente inferiores a los parámetros de referencia pertinentes, deberá facilitarse una explicación motivada al respecto. Parámetros de referencia establecidos para la asignación gratuita de derechos de emisión en relación con las actividades que se inscriben en el ámbito de aplicación del régimen de comercio de derechos de emisión, según lo establecido en el Reglamento de Ejecución (UE) 2021/447 de la Comisión. </w:t>
      </w:r>
    </w:p>
    <w:p w14:paraId="2ECF59CC" w14:textId="77777777" w:rsidR="003E3759" w:rsidRPr="003E3759" w:rsidRDefault="003E3759" w:rsidP="004478C8">
      <w:pPr>
        <w:autoSpaceDE w:val="0"/>
        <w:autoSpaceDN w:val="0"/>
        <w:adjustRightInd w:val="0"/>
        <w:jc w:val="both"/>
        <w:rPr>
          <w:rFonts w:ascii="Rubik Light" w:hAnsi="Rubik Light" w:cs="Rubik Light"/>
          <w:sz w:val="18"/>
          <w:szCs w:val="16"/>
        </w:rPr>
      </w:pPr>
    </w:p>
    <w:p w14:paraId="2A47EFD0" w14:textId="18719E87" w:rsidR="004478C8" w:rsidRPr="003E3759" w:rsidRDefault="004478C8" w:rsidP="004478C8">
      <w:pPr>
        <w:autoSpaceDE w:val="0"/>
        <w:autoSpaceDN w:val="0"/>
        <w:adjustRightInd w:val="0"/>
        <w:jc w:val="both"/>
        <w:rPr>
          <w:rFonts w:ascii="Rubik Light" w:hAnsi="Rubik Light" w:cs="Rubik Light"/>
          <w:sz w:val="18"/>
          <w:szCs w:val="16"/>
        </w:rPr>
      </w:pPr>
      <w:r w:rsidRPr="003E3759">
        <w:rPr>
          <w:rStyle w:val="Refdenotaalpie"/>
          <w:rFonts w:ascii="Rubik Light" w:hAnsi="Rubik Light" w:cs="Rubik Light"/>
          <w:sz w:val="18"/>
          <w:szCs w:val="16"/>
        </w:rPr>
        <w:t>3</w:t>
      </w:r>
      <w:r w:rsidRPr="003E3759">
        <w:rPr>
          <w:rFonts w:ascii="Rubik Light" w:hAnsi="Rubik Light" w:cs="Rubik Light"/>
          <w:color w:val="000000"/>
          <w:sz w:val="18"/>
          <w:szCs w:val="16"/>
        </w:rPr>
        <w:t xml:space="preserve">Esta exclusión no se aplica a las acciones emprendidas en el marco de esta medida en plantas dedicadas exclusivamente al tratamiento de residuos peligrosos no reciclables, ni a las plantas existentes, cuando dichas acciones tengan por objeto aumentar la eficiencia energética, capturar los gases de escape para su almacenamiento o utilización, o recuperar materiales de las cenizas de incineración, siempre que tales acciones no conlleven un aumento de la capacidad </w:t>
      </w:r>
      <w:r w:rsidRPr="003E3759">
        <w:rPr>
          <w:rFonts w:ascii="Rubik Light" w:hAnsi="Rubik Light" w:cs="Rubik Light"/>
          <w:color w:val="000000"/>
          <w:sz w:val="18"/>
          <w:szCs w:val="16"/>
        </w:rPr>
        <w:lastRenderedPageBreak/>
        <w:t xml:space="preserve">de tratamiento de residuos de las plantas o a una prolongación de su vida útil; estos pormenores deberán justificarse documentalmente por cada planta. </w:t>
      </w:r>
    </w:p>
    <w:p w14:paraId="24C7BAA8" w14:textId="44B861EB" w:rsidR="004478C8" w:rsidRPr="003E3759" w:rsidRDefault="004478C8" w:rsidP="004478C8">
      <w:pPr>
        <w:jc w:val="both"/>
        <w:rPr>
          <w:rFonts w:ascii="Rubik Light" w:hAnsi="Rubik Light" w:cs="Rubik Light"/>
          <w:sz w:val="18"/>
          <w:szCs w:val="16"/>
        </w:rPr>
      </w:pPr>
      <w:r w:rsidRPr="003E3759">
        <w:rPr>
          <w:rStyle w:val="Refdenotaalpie"/>
          <w:rFonts w:ascii="Rubik Light" w:hAnsi="Rubik Light" w:cs="Rubik Light"/>
          <w:sz w:val="18"/>
          <w:szCs w:val="16"/>
        </w:rPr>
        <w:t>4</w:t>
      </w:r>
      <w:r w:rsidRPr="003E3759">
        <w:rPr>
          <w:rFonts w:ascii="Rubik Light" w:hAnsi="Rubik Light" w:cs="Rubik Light"/>
          <w:color w:val="000000"/>
          <w:sz w:val="18"/>
          <w:szCs w:val="16"/>
        </w:rPr>
        <w:t xml:space="preserve">Esta exclusión no se aplica a las acciones emprendidas en el marco de esta medida en las plantas de tratamiento mecánico-biológico existentes, cuando dichas acciones tengan por objeto aumentar su eficiencia energética o su reacondicionamiento para operaciones de reciclaje de residuos separados, como el compostaje y la digestión anaerobia de </w:t>
      </w:r>
      <w:proofErr w:type="spellStart"/>
      <w:r w:rsidRPr="003E3759">
        <w:rPr>
          <w:rFonts w:ascii="Rubik Light" w:hAnsi="Rubik Light" w:cs="Rubik Light"/>
          <w:color w:val="000000"/>
          <w:sz w:val="18"/>
          <w:szCs w:val="16"/>
        </w:rPr>
        <w:t>biorresiduos</w:t>
      </w:r>
      <w:proofErr w:type="spellEnd"/>
      <w:r w:rsidRPr="003E3759">
        <w:rPr>
          <w:rFonts w:ascii="Rubik Light" w:hAnsi="Rubik Light" w:cs="Rubik Light"/>
          <w:color w:val="000000"/>
          <w:sz w:val="18"/>
          <w:szCs w:val="16"/>
        </w:rPr>
        <w:t xml:space="preserve">, siempre que tales acciones no conlleven un aumento de la capacidad de tratamiento de residuos de las plantas o a una prolongación de su vida útil; estos pormenores deberán justificarse documentalmente por cada planta.  </w:t>
      </w:r>
    </w:p>
    <w:p w14:paraId="1D508C6F" w14:textId="3C3DE601" w:rsidR="004478C8" w:rsidRPr="003E3759" w:rsidRDefault="004478C8" w:rsidP="004478C8">
      <w:pPr>
        <w:pStyle w:val="Textonotapie"/>
        <w:jc w:val="both"/>
        <w:rPr>
          <w:rFonts w:ascii="Rubik Light" w:hAnsi="Rubik Light" w:cs="Rubik Light"/>
          <w:sz w:val="18"/>
          <w:szCs w:val="16"/>
          <w:lang w:val="es-ES"/>
        </w:rPr>
      </w:pPr>
      <w:r w:rsidRPr="003E3759">
        <w:rPr>
          <w:rStyle w:val="Refdenotaalpie"/>
          <w:rFonts w:ascii="Rubik Light" w:eastAsiaTheme="majorEastAsia" w:hAnsi="Rubik Light" w:cs="Rubik Light"/>
          <w:sz w:val="18"/>
          <w:szCs w:val="16"/>
        </w:rPr>
        <w:t>5</w:t>
      </w:r>
      <w:r w:rsidRPr="003E3759">
        <w:rPr>
          <w:rFonts w:ascii="Rubik Light" w:hAnsi="Rubik Light" w:cs="Rubik Light"/>
          <w:sz w:val="18"/>
          <w:szCs w:val="16"/>
          <w:lang w:val="es-ES"/>
        </w:rPr>
        <w:t xml:space="preserve"> Reglamento (UE) 2020/852 del Parlamento Europeo y del Consejo de 18 de junio de 2020 relativo al establecimiento de un marco para facilitar las inversiones sostenibles y por el que se modifica el Reglamento (UE) 2019/2088.</w:t>
      </w:r>
    </w:p>
    <w:p w14:paraId="36284A27" w14:textId="77777777" w:rsidR="004478C8" w:rsidRPr="003E3759" w:rsidRDefault="004478C8" w:rsidP="004478C8">
      <w:pPr>
        <w:rPr>
          <w:rFonts w:ascii="Rubik Light" w:hAnsi="Rubik Light" w:cs="Rubik Light"/>
          <w:sz w:val="18"/>
          <w:szCs w:val="16"/>
        </w:rPr>
      </w:pPr>
    </w:p>
    <w:p w14:paraId="4354C291" w14:textId="77777777" w:rsidR="003F0943" w:rsidRPr="003E3759" w:rsidRDefault="003F0943" w:rsidP="003F0943">
      <w:pPr>
        <w:rPr>
          <w:rFonts w:ascii="Rubik Light" w:hAnsi="Rubik Light" w:cs="Rubik Light"/>
          <w:sz w:val="18"/>
          <w:szCs w:val="16"/>
        </w:rPr>
      </w:pPr>
    </w:p>
    <w:p w14:paraId="25B91C3B" w14:textId="5F8FDC5C" w:rsidR="003F0943" w:rsidRPr="003E3759" w:rsidRDefault="003F0943" w:rsidP="003F0943">
      <w:pPr>
        <w:rPr>
          <w:rFonts w:ascii="Rubik Light" w:hAnsi="Rubik Light" w:cs="Rubik Light"/>
          <w:sz w:val="18"/>
          <w:szCs w:val="16"/>
        </w:rPr>
      </w:pPr>
    </w:p>
    <w:p w14:paraId="294EA51E" w14:textId="323EC9A0" w:rsidR="000667A3" w:rsidRPr="003E3759" w:rsidRDefault="000667A3" w:rsidP="00073AE0">
      <w:pPr>
        <w:rPr>
          <w:rFonts w:ascii="Rubik Light" w:hAnsi="Rubik Light" w:cs="Rubik Light"/>
          <w:sz w:val="18"/>
          <w:szCs w:val="16"/>
        </w:rPr>
      </w:pPr>
    </w:p>
    <w:p w14:paraId="2DC9BF0A" w14:textId="0E39808C" w:rsidR="008F52CA" w:rsidRPr="003E3759" w:rsidRDefault="008F52CA" w:rsidP="00073AE0">
      <w:pPr>
        <w:rPr>
          <w:rFonts w:ascii="Rubik Light" w:hAnsi="Rubik Light" w:cs="Rubik Light"/>
          <w:sz w:val="18"/>
          <w:szCs w:val="16"/>
        </w:rPr>
      </w:pPr>
    </w:p>
    <w:p w14:paraId="33A606B5" w14:textId="652F6C22" w:rsidR="008F52CA" w:rsidRPr="003E3759" w:rsidRDefault="008F52CA" w:rsidP="00073AE0">
      <w:pPr>
        <w:rPr>
          <w:rFonts w:ascii="Rubik Light" w:hAnsi="Rubik Light" w:cs="Rubik Light"/>
          <w:sz w:val="18"/>
          <w:szCs w:val="16"/>
        </w:rPr>
      </w:pPr>
    </w:p>
    <w:p w14:paraId="0D198262" w14:textId="0259BA0B" w:rsidR="008F52CA" w:rsidRPr="003E3759" w:rsidRDefault="008F52CA" w:rsidP="00073AE0">
      <w:pPr>
        <w:rPr>
          <w:rFonts w:ascii="Rubik Light" w:hAnsi="Rubik Light" w:cs="Rubik Light"/>
          <w:sz w:val="18"/>
          <w:szCs w:val="16"/>
        </w:rPr>
      </w:pPr>
    </w:p>
    <w:p w14:paraId="2B0FDE79" w14:textId="37D6A857" w:rsidR="008F52CA" w:rsidRPr="003E3759" w:rsidRDefault="008F52CA" w:rsidP="00073AE0">
      <w:pPr>
        <w:rPr>
          <w:rFonts w:ascii="Rubik Light" w:hAnsi="Rubik Light" w:cs="Rubik Light"/>
          <w:sz w:val="18"/>
          <w:szCs w:val="16"/>
        </w:rPr>
      </w:pPr>
    </w:p>
    <w:p w14:paraId="30AD0DFC" w14:textId="7C08D989" w:rsidR="008F52CA" w:rsidRPr="003E3759" w:rsidRDefault="008F52CA" w:rsidP="00073AE0">
      <w:pPr>
        <w:rPr>
          <w:rFonts w:ascii="Rubik Light" w:hAnsi="Rubik Light" w:cs="Rubik Light"/>
          <w:noProof/>
          <w:sz w:val="18"/>
          <w:szCs w:val="16"/>
          <w:lang w:val="es-ES"/>
        </w:rPr>
      </w:pPr>
    </w:p>
    <w:p w14:paraId="67C75B92" w14:textId="7B8F241B" w:rsidR="008F52CA" w:rsidRPr="003E3759" w:rsidRDefault="008F52CA" w:rsidP="00073AE0">
      <w:pPr>
        <w:rPr>
          <w:rFonts w:ascii="Rubik Light" w:hAnsi="Rubik Light" w:cs="Rubik Light"/>
          <w:sz w:val="18"/>
          <w:szCs w:val="16"/>
        </w:rPr>
      </w:pPr>
    </w:p>
    <w:p w14:paraId="474EA2FF" w14:textId="77777777" w:rsidR="008F52CA" w:rsidRPr="003E3759" w:rsidRDefault="008F52CA" w:rsidP="00073AE0">
      <w:pPr>
        <w:rPr>
          <w:rFonts w:ascii="Rubik Light" w:hAnsi="Rubik Light" w:cs="Rubik Light"/>
          <w:sz w:val="16"/>
          <w:szCs w:val="16"/>
        </w:rPr>
      </w:pPr>
    </w:p>
    <w:p w14:paraId="35F155F7" w14:textId="34942419" w:rsidR="008F52CA" w:rsidRPr="003E3759" w:rsidRDefault="008F52CA" w:rsidP="00073AE0">
      <w:pPr>
        <w:rPr>
          <w:rFonts w:ascii="Rubik Light" w:hAnsi="Rubik Light" w:cs="Rubik Light"/>
        </w:rPr>
      </w:pPr>
    </w:p>
    <w:sectPr w:rsidR="008F52CA" w:rsidRPr="003E3759" w:rsidSect="000667A3">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0F5F8" w14:textId="77777777" w:rsidR="009D48E5" w:rsidRDefault="009D48E5" w:rsidP="00965D83">
      <w:r>
        <w:separator/>
      </w:r>
    </w:p>
  </w:endnote>
  <w:endnote w:type="continuationSeparator" w:id="0">
    <w:p w14:paraId="58F2C9C4" w14:textId="77777777" w:rsidR="009D48E5" w:rsidRDefault="009D48E5" w:rsidP="0096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Light">
    <w:altName w:val="Times New Roman"/>
    <w:charset w:val="00"/>
    <w:family w:val="auto"/>
    <w:pitch w:val="variable"/>
    <w:sig w:usb0="2000020F" w:usb1="00000003" w:usb2="00000000" w:usb3="00000000" w:csb0="00000197" w:csb1="00000000"/>
  </w:font>
  <w:font w:name="Eina01-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ubik Light">
    <w:altName w:val="Courier New"/>
    <w:charset w:val="00"/>
    <w:family w:val="auto"/>
    <w:pitch w:val="variable"/>
    <w:sig w:usb0="A0000A6F" w:usb1="4000205B"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006783"/>
      <w:docPartObj>
        <w:docPartGallery w:val="Page Numbers (Bottom of Page)"/>
        <w:docPartUnique/>
      </w:docPartObj>
    </w:sdtPr>
    <w:sdtEndPr/>
    <w:sdtContent>
      <w:p w14:paraId="033403DE" w14:textId="1EF3F23C" w:rsidR="009F6FA3" w:rsidRDefault="009F6FA3">
        <w:pPr>
          <w:pStyle w:val="Piedepgina"/>
          <w:jc w:val="right"/>
        </w:pPr>
        <w:r>
          <w:fldChar w:fldCharType="begin"/>
        </w:r>
        <w:r>
          <w:instrText>PAGE   \* MERGEFORMAT</w:instrText>
        </w:r>
        <w:r>
          <w:fldChar w:fldCharType="separate"/>
        </w:r>
        <w:r w:rsidR="003E3759">
          <w:rPr>
            <w:noProof/>
          </w:rPr>
          <w:t>5</w:t>
        </w:r>
        <w:r>
          <w:fldChar w:fldCharType="end"/>
        </w:r>
      </w:p>
    </w:sdtContent>
  </w:sdt>
  <w:p w14:paraId="73EBF709" w14:textId="77777777" w:rsidR="00445712" w:rsidRPr="00445712" w:rsidRDefault="00445712" w:rsidP="00445712">
    <w:pPr>
      <w:pStyle w:val="Piedepgina"/>
      <w:ind w:left="-851"/>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A14EA" w14:textId="77777777" w:rsidR="009D48E5" w:rsidRDefault="009D48E5" w:rsidP="00965D83">
      <w:r>
        <w:separator/>
      </w:r>
    </w:p>
  </w:footnote>
  <w:footnote w:type="continuationSeparator" w:id="0">
    <w:p w14:paraId="20D51D1E" w14:textId="77777777" w:rsidR="009D48E5" w:rsidRDefault="009D48E5" w:rsidP="00965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5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4"/>
      <w:gridCol w:w="2360"/>
      <w:gridCol w:w="2676"/>
    </w:tblGrid>
    <w:tr w:rsidR="007F57B8" w14:paraId="5F0509F4" w14:textId="77777777" w:rsidTr="007C7A15">
      <w:trPr>
        <w:trHeight w:val="1459"/>
      </w:trPr>
      <w:tc>
        <w:tcPr>
          <w:tcW w:w="5299" w:type="dxa"/>
          <w:hideMark/>
        </w:tcPr>
        <w:p w14:paraId="6B25938E" w14:textId="3AC2A2CF" w:rsidR="007C7A15" w:rsidRDefault="00687CFB" w:rsidP="006D77CC">
          <w:pPr>
            <w:rPr>
              <w:rFonts w:ascii="Arial" w:eastAsia="Arial" w:hAnsi="Arial" w:cs="Arial"/>
              <w:sz w:val="18"/>
            </w:rPr>
          </w:pPr>
          <w:r>
            <w:rPr>
              <w:rFonts w:ascii="Arial" w:eastAsia="Arial" w:hAnsi="Arial" w:cs="Arial"/>
              <w:noProof/>
              <w:sz w:val="18"/>
              <w:lang w:val="es-ES"/>
            </w:rPr>
            <w:drawing>
              <wp:anchor distT="0" distB="0" distL="114300" distR="114300" simplePos="0" relativeHeight="251664384" behindDoc="0" locked="0" layoutInCell="1" allowOverlap="1" wp14:anchorId="5FAC47BA" wp14:editId="60F8A662">
                <wp:simplePos x="0" y="0"/>
                <wp:positionH relativeFrom="column">
                  <wp:posOffset>2230120</wp:posOffset>
                </wp:positionH>
                <wp:positionV relativeFrom="paragraph">
                  <wp:posOffset>-318770</wp:posOffset>
                </wp:positionV>
                <wp:extent cx="1926662" cy="1083733"/>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rtr-tres-liuneas-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6662" cy="1083733"/>
                        </a:xfrm>
                        <a:prstGeom prst="rect">
                          <a:avLst/>
                        </a:prstGeom>
                      </pic:spPr>
                    </pic:pic>
                  </a:graphicData>
                </a:graphic>
                <wp14:sizeRelH relativeFrom="page">
                  <wp14:pctWidth>0</wp14:pctWidth>
                </wp14:sizeRelH>
                <wp14:sizeRelV relativeFrom="page">
                  <wp14:pctHeight>0</wp14:pctHeight>
                </wp14:sizeRelV>
              </wp:anchor>
            </w:drawing>
          </w:r>
          <w:r w:rsidR="007F57B8">
            <w:rPr>
              <w:noProof/>
              <w:lang w:val="es-ES"/>
            </w:rPr>
            <w:drawing>
              <wp:anchor distT="0" distB="0" distL="114300" distR="114300" simplePos="0" relativeHeight="251665408" behindDoc="0" locked="0" layoutInCell="1" allowOverlap="1" wp14:anchorId="5F649E17" wp14:editId="0DC24636">
                <wp:simplePos x="0" y="0"/>
                <wp:positionH relativeFrom="column">
                  <wp:posOffset>-1270</wp:posOffset>
                </wp:positionH>
                <wp:positionV relativeFrom="paragraph">
                  <wp:posOffset>22860</wp:posOffset>
                </wp:positionV>
                <wp:extent cx="1835752" cy="643467"/>
                <wp:effectExtent l="0" t="0" r="0" b="4445"/>
                <wp:wrapNone/>
                <wp:docPr id="3" name="Imagen 3" descr="cid:image003.png@01D8CE80.FABA2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id:image003.png@01D8CE80.FABA2AB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835752" cy="64346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41" w:type="dxa"/>
          <w:hideMark/>
        </w:tcPr>
        <w:p w14:paraId="4AE584D8" w14:textId="2898BA0B" w:rsidR="007C7A15" w:rsidRDefault="007C7A15" w:rsidP="006D77CC">
          <w:pPr>
            <w:rPr>
              <w:rFonts w:ascii="Arial" w:eastAsia="Arial" w:hAnsi="Arial" w:cs="Arial"/>
              <w:sz w:val="18"/>
            </w:rPr>
          </w:pPr>
        </w:p>
      </w:tc>
      <w:tc>
        <w:tcPr>
          <w:tcW w:w="2410" w:type="dxa"/>
        </w:tcPr>
        <w:p w14:paraId="6EDD5497" w14:textId="22FBCCE9" w:rsidR="007C7A15" w:rsidRPr="000667A3" w:rsidRDefault="007F57B8" w:rsidP="00687CFB">
          <w:pPr>
            <w:rPr>
              <w:rFonts w:ascii="Montserrat Light" w:hAnsi="Montserrat Light"/>
              <w:noProof/>
              <w:sz w:val="12"/>
              <w:szCs w:val="12"/>
            </w:rPr>
          </w:pPr>
          <w:r w:rsidRPr="000667A3">
            <w:rPr>
              <w:noProof/>
              <w:sz w:val="12"/>
              <w:szCs w:val="12"/>
              <w:lang w:val="es-ES"/>
            </w:rPr>
            <w:drawing>
              <wp:anchor distT="0" distB="0" distL="114300" distR="114300" simplePos="0" relativeHeight="251663360" behindDoc="1" locked="0" layoutInCell="1" allowOverlap="0" wp14:anchorId="69F8E390" wp14:editId="72B5E72C">
                <wp:simplePos x="0" y="0"/>
                <wp:positionH relativeFrom="column">
                  <wp:posOffset>-36195</wp:posOffset>
                </wp:positionH>
                <wp:positionV relativeFrom="page">
                  <wp:posOffset>0</wp:posOffset>
                </wp:positionV>
                <wp:extent cx="1558800" cy="489600"/>
                <wp:effectExtent l="0" t="0" r="3810" b="571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ministeri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8800" cy="489600"/>
                        </a:xfrm>
                        <a:prstGeom prst="rect">
                          <a:avLst/>
                        </a:prstGeom>
                      </pic:spPr>
                    </pic:pic>
                  </a:graphicData>
                </a:graphic>
                <wp14:sizeRelH relativeFrom="margin">
                  <wp14:pctWidth>0</wp14:pctWidth>
                </wp14:sizeRelH>
                <wp14:sizeRelV relativeFrom="margin">
                  <wp14:pctHeight>0</wp14:pctHeight>
                </wp14:sizeRelV>
              </wp:anchor>
            </w:drawing>
          </w:r>
          <w:r w:rsidR="000667A3" w:rsidRPr="000667A3">
            <w:rPr>
              <w:rFonts w:ascii="Montserrat Light" w:hAnsi="Montserrat Light"/>
              <w:noProof/>
              <w:sz w:val="12"/>
              <w:szCs w:val="12"/>
            </w:rPr>
            <w:t>SECRETARÍA DE ESTADO DE TURISMO</w:t>
          </w:r>
        </w:p>
        <w:p w14:paraId="3C032090" w14:textId="63603B41" w:rsidR="007C7A15" w:rsidRPr="000667A3" w:rsidRDefault="007C7A15" w:rsidP="000667A3">
          <w:pPr>
            <w:jc w:val="right"/>
            <w:rPr>
              <w:rFonts w:ascii="Calibri" w:eastAsia="Calibri" w:hAnsi="Calibri" w:cs="Calibri"/>
              <w:noProof/>
              <w:sz w:val="12"/>
              <w:szCs w:val="12"/>
              <w:lang w:val="es-ES"/>
            </w:rPr>
          </w:pPr>
        </w:p>
      </w:tc>
    </w:tr>
  </w:tbl>
  <w:p w14:paraId="5F5BC715" w14:textId="0F5B4069" w:rsidR="006D77CC" w:rsidRDefault="006D77CC" w:rsidP="006D77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914"/>
    <w:multiLevelType w:val="hybridMultilevel"/>
    <w:tmpl w:val="805A9726"/>
    <w:lvl w:ilvl="0" w:tplc="0C0A000F">
      <w:start w:val="1"/>
      <w:numFmt w:val="decimal"/>
      <w:lvlText w:val="%1."/>
      <w:lvlJc w:val="left"/>
      <w:pPr>
        <w:ind w:left="4897"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863BC3"/>
    <w:multiLevelType w:val="hybridMultilevel"/>
    <w:tmpl w:val="C8002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1A3F86"/>
    <w:multiLevelType w:val="multilevel"/>
    <w:tmpl w:val="711244E6"/>
    <w:lvl w:ilvl="0">
      <w:start w:val="1"/>
      <w:numFmt w:val="bullet"/>
      <w:lvlText w:val=""/>
      <w:lvlJc w:val="left"/>
      <w:pPr>
        <w:ind w:left="1518" w:hanging="360"/>
      </w:pPr>
      <w:rPr>
        <w:rFonts w:ascii="Symbol" w:hAnsi="Symbol" w:hint="default"/>
      </w:rPr>
    </w:lvl>
    <w:lvl w:ilvl="1">
      <w:start w:val="1"/>
      <w:numFmt w:val="decimal"/>
      <w:lvlText w:val="%1.%2."/>
      <w:lvlJc w:val="left"/>
      <w:pPr>
        <w:ind w:left="1950" w:hanging="432"/>
      </w:pPr>
    </w:lvl>
    <w:lvl w:ilvl="2">
      <w:start w:val="1"/>
      <w:numFmt w:val="decimal"/>
      <w:lvlText w:val="%1.%2.%3."/>
      <w:lvlJc w:val="left"/>
      <w:pPr>
        <w:ind w:left="2382" w:hanging="504"/>
      </w:pPr>
    </w:lvl>
    <w:lvl w:ilvl="3">
      <w:start w:val="1"/>
      <w:numFmt w:val="decimal"/>
      <w:lvlText w:val="%1.%2.%3.%4."/>
      <w:lvlJc w:val="left"/>
      <w:pPr>
        <w:ind w:left="2886" w:hanging="648"/>
      </w:pPr>
    </w:lvl>
    <w:lvl w:ilvl="4">
      <w:start w:val="1"/>
      <w:numFmt w:val="decimal"/>
      <w:lvlText w:val="%1.%2.%3.%4.%5."/>
      <w:lvlJc w:val="left"/>
      <w:pPr>
        <w:ind w:left="3390" w:hanging="792"/>
      </w:pPr>
    </w:lvl>
    <w:lvl w:ilvl="5">
      <w:start w:val="1"/>
      <w:numFmt w:val="decimal"/>
      <w:lvlText w:val="%1.%2.%3.%4.%5.%6."/>
      <w:lvlJc w:val="left"/>
      <w:pPr>
        <w:ind w:left="3894" w:hanging="936"/>
      </w:pPr>
    </w:lvl>
    <w:lvl w:ilvl="6">
      <w:start w:val="1"/>
      <w:numFmt w:val="decimal"/>
      <w:lvlText w:val="%1.%2.%3.%4.%5.%6.%7."/>
      <w:lvlJc w:val="left"/>
      <w:pPr>
        <w:ind w:left="4398" w:hanging="1080"/>
      </w:pPr>
    </w:lvl>
    <w:lvl w:ilvl="7">
      <w:start w:val="1"/>
      <w:numFmt w:val="decimal"/>
      <w:lvlText w:val="%1.%2.%3.%4.%5.%6.%7.%8."/>
      <w:lvlJc w:val="left"/>
      <w:pPr>
        <w:ind w:left="4902" w:hanging="1224"/>
      </w:pPr>
    </w:lvl>
    <w:lvl w:ilvl="8">
      <w:start w:val="1"/>
      <w:numFmt w:val="decimal"/>
      <w:lvlText w:val="%1.%2.%3.%4.%5.%6.%7.%8.%9."/>
      <w:lvlJc w:val="left"/>
      <w:pPr>
        <w:ind w:left="5478" w:hanging="1440"/>
      </w:pPr>
    </w:lvl>
  </w:abstractNum>
  <w:abstractNum w:abstractNumId="3" w15:restartNumberingAfterBreak="0">
    <w:nsid w:val="134A2C65"/>
    <w:multiLevelType w:val="hybridMultilevel"/>
    <w:tmpl w:val="0DE6B0EA"/>
    <w:lvl w:ilvl="0" w:tplc="5AAA8CA4">
      <w:start w:val="3"/>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15E364CA"/>
    <w:multiLevelType w:val="multilevel"/>
    <w:tmpl w:val="ECF299AC"/>
    <w:lvl w:ilvl="0">
      <w:start w:val="1"/>
      <w:numFmt w:val="lowerLetter"/>
      <w:lvlText w:val="%1)"/>
      <w:lvlJc w:val="left"/>
      <w:pPr>
        <w:ind w:left="1368" w:hanging="360"/>
      </w:pPr>
    </w:lvl>
    <w:lvl w:ilvl="1">
      <w:start w:val="1"/>
      <w:numFmt w:val="decimal"/>
      <w:lvlText w:val="%1.%2."/>
      <w:lvlJc w:val="left"/>
      <w:pPr>
        <w:ind w:left="1800" w:hanging="432"/>
      </w:pPr>
    </w:lvl>
    <w:lvl w:ilvl="2">
      <w:start w:val="1"/>
      <w:numFmt w:val="decimal"/>
      <w:lvlText w:val="%1.%2.%3."/>
      <w:lvlJc w:val="left"/>
      <w:pPr>
        <w:ind w:left="2232" w:hanging="504"/>
      </w:pPr>
    </w:lvl>
    <w:lvl w:ilvl="3">
      <w:start w:val="1"/>
      <w:numFmt w:val="decimal"/>
      <w:lvlText w:val="%1.%2.%3.%4."/>
      <w:lvlJc w:val="left"/>
      <w:pPr>
        <w:ind w:left="2736" w:hanging="648"/>
      </w:pPr>
    </w:lvl>
    <w:lvl w:ilvl="4">
      <w:start w:val="1"/>
      <w:numFmt w:val="decimal"/>
      <w:lvlText w:val="%1.%2.%3.%4.%5."/>
      <w:lvlJc w:val="left"/>
      <w:pPr>
        <w:ind w:left="3240" w:hanging="792"/>
      </w:pPr>
    </w:lvl>
    <w:lvl w:ilvl="5">
      <w:start w:val="1"/>
      <w:numFmt w:val="decimal"/>
      <w:lvlText w:val="%1.%2.%3.%4.%5.%6."/>
      <w:lvlJc w:val="left"/>
      <w:pPr>
        <w:ind w:left="3744" w:hanging="936"/>
      </w:pPr>
    </w:lvl>
    <w:lvl w:ilvl="6">
      <w:start w:val="1"/>
      <w:numFmt w:val="decimal"/>
      <w:lvlText w:val="%1.%2.%3.%4.%5.%6.%7."/>
      <w:lvlJc w:val="left"/>
      <w:pPr>
        <w:ind w:left="4248" w:hanging="1080"/>
      </w:pPr>
    </w:lvl>
    <w:lvl w:ilvl="7">
      <w:start w:val="1"/>
      <w:numFmt w:val="decimal"/>
      <w:lvlText w:val="%1.%2.%3.%4.%5.%6.%7.%8."/>
      <w:lvlJc w:val="left"/>
      <w:pPr>
        <w:ind w:left="4752" w:hanging="1224"/>
      </w:pPr>
    </w:lvl>
    <w:lvl w:ilvl="8">
      <w:start w:val="1"/>
      <w:numFmt w:val="decimal"/>
      <w:lvlText w:val="%1.%2.%3.%4.%5.%6.%7.%8.%9."/>
      <w:lvlJc w:val="left"/>
      <w:pPr>
        <w:ind w:left="5328" w:hanging="1440"/>
      </w:pPr>
    </w:lvl>
  </w:abstractNum>
  <w:abstractNum w:abstractNumId="5" w15:restartNumberingAfterBreak="0">
    <w:nsid w:val="169D3F50"/>
    <w:multiLevelType w:val="hybridMultilevel"/>
    <w:tmpl w:val="F7FE4DF4"/>
    <w:lvl w:ilvl="0" w:tplc="8078DFD2">
      <w:start w:val="3"/>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79328FF"/>
    <w:multiLevelType w:val="hybridMultilevel"/>
    <w:tmpl w:val="DEAC2676"/>
    <w:lvl w:ilvl="0" w:tplc="8078DFD2">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53446B"/>
    <w:multiLevelType w:val="hybridMultilevel"/>
    <w:tmpl w:val="EDF2FD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61624E"/>
    <w:multiLevelType w:val="hybridMultilevel"/>
    <w:tmpl w:val="9828ACD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E277D98"/>
    <w:multiLevelType w:val="hybridMultilevel"/>
    <w:tmpl w:val="2B72F842"/>
    <w:lvl w:ilvl="0" w:tplc="67F207A2">
      <w:numFmt w:val="bullet"/>
      <w:lvlText w:val="-"/>
      <w:lvlJc w:val="left"/>
      <w:pPr>
        <w:ind w:left="720" w:hanging="360"/>
      </w:pPr>
      <w:rPr>
        <w:rFonts w:ascii="Calibri" w:eastAsia="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347D5DC1"/>
    <w:multiLevelType w:val="hybridMultilevel"/>
    <w:tmpl w:val="B324F6C0"/>
    <w:lvl w:ilvl="0" w:tplc="F5F429E6">
      <w:start w:val="1"/>
      <w:numFmt w:val="decimal"/>
      <w:lvlText w:val="%1"/>
      <w:lvlJc w:val="left"/>
      <w:pPr>
        <w:ind w:left="720" w:hanging="360"/>
      </w:pPr>
      <w:rPr>
        <w:rFonts w:eastAsia="Arial" w:hint="default"/>
        <w:b/>
        <w:sz w:val="20"/>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FA02F6A"/>
    <w:multiLevelType w:val="hybridMultilevel"/>
    <w:tmpl w:val="0F02014E"/>
    <w:lvl w:ilvl="0" w:tplc="A6AA42F4">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02C2153"/>
    <w:multiLevelType w:val="hybridMultilevel"/>
    <w:tmpl w:val="EAF086A0"/>
    <w:lvl w:ilvl="0" w:tplc="1DC427A4">
      <w:start w:val="1"/>
      <w:numFmt w:val="decimal"/>
      <w:lvlText w:val="%1."/>
      <w:lvlJc w:val="left"/>
      <w:pPr>
        <w:ind w:left="360" w:hanging="360"/>
      </w:pPr>
      <w:rPr>
        <w:rFonts w:eastAsia="Arial" w:hint="default"/>
        <w:b/>
        <w:sz w:val="20"/>
        <w:u w:val="non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445F3C6B"/>
    <w:multiLevelType w:val="hybridMultilevel"/>
    <w:tmpl w:val="A11AFC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4DD0AE1"/>
    <w:multiLevelType w:val="hybridMultilevel"/>
    <w:tmpl w:val="CF3268E2"/>
    <w:lvl w:ilvl="0" w:tplc="FB06DCF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E1D02A7"/>
    <w:multiLevelType w:val="hybridMultilevel"/>
    <w:tmpl w:val="43543AAE"/>
    <w:lvl w:ilvl="0" w:tplc="F8C686B4">
      <w:start w:val="1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1FC7FBD"/>
    <w:multiLevelType w:val="hybridMultilevel"/>
    <w:tmpl w:val="A2644FA4"/>
    <w:lvl w:ilvl="0" w:tplc="F176DA08">
      <w:start w:val="1"/>
      <w:numFmt w:val="upperRoman"/>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7" w15:restartNumberingAfterBreak="0">
    <w:nsid w:val="526B0D50"/>
    <w:multiLevelType w:val="hybridMultilevel"/>
    <w:tmpl w:val="D5CA4B7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EC31BA5"/>
    <w:multiLevelType w:val="hybridMultilevel"/>
    <w:tmpl w:val="44E0A792"/>
    <w:lvl w:ilvl="0" w:tplc="D040B312">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C2231ED"/>
    <w:multiLevelType w:val="hybridMultilevel"/>
    <w:tmpl w:val="059A6938"/>
    <w:lvl w:ilvl="0" w:tplc="740696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CBF2ED1"/>
    <w:multiLevelType w:val="hybridMultilevel"/>
    <w:tmpl w:val="479A6374"/>
    <w:lvl w:ilvl="0" w:tplc="5BA09610">
      <w:numFmt w:val="bullet"/>
      <w:lvlText w:val="-"/>
      <w:lvlJc w:val="left"/>
      <w:pPr>
        <w:ind w:left="720" w:hanging="360"/>
      </w:pPr>
      <w:rPr>
        <w:rFonts w:ascii="Montserrat Light" w:eastAsiaTheme="minorHAnsi" w:hAnsi="Montserrat Light" w:cs="Eina01-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CC92949"/>
    <w:multiLevelType w:val="hybridMultilevel"/>
    <w:tmpl w:val="1AD251D4"/>
    <w:lvl w:ilvl="0" w:tplc="469E901C">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F573DFC"/>
    <w:multiLevelType w:val="hybridMultilevel"/>
    <w:tmpl w:val="B4B63C48"/>
    <w:lvl w:ilvl="0" w:tplc="51C2EDDC">
      <w:start w:val="1"/>
      <w:numFmt w:val="bullet"/>
      <w:lvlText w:val="-"/>
      <w:lvlJc w:val="left"/>
      <w:pPr>
        <w:ind w:left="720" w:hanging="360"/>
      </w:pPr>
      <w:rPr>
        <w:rFonts w:ascii="Montserrat Light" w:eastAsiaTheme="minorHAnsi" w:hAnsi="Montserrat Light" w:cs="Eina01-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10D5E2E"/>
    <w:multiLevelType w:val="hybridMultilevel"/>
    <w:tmpl w:val="99D89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6346943"/>
    <w:multiLevelType w:val="multilevel"/>
    <w:tmpl w:val="F5B818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93779F"/>
    <w:multiLevelType w:val="hybridMultilevel"/>
    <w:tmpl w:val="23B8D6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7"/>
  </w:num>
  <w:num w:numId="2">
    <w:abstractNumId w:val="16"/>
  </w:num>
  <w:num w:numId="3">
    <w:abstractNumId w:val="5"/>
  </w:num>
  <w:num w:numId="4">
    <w:abstractNumId w:val="3"/>
  </w:num>
  <w:num w:numId="5">
    <w:abstractNumId w:val="1"/>
  </w:num>
  <w:num w:numId="6">
    <w:abstractNumId w:val="18"/>
  </w:num>
  <w:num w:numId="7">
    <w:abstractNumId w:val="23"/>
  </w:num>
  <w:num w:numId="8">
    <w:abstractNumId w:val="21"/>
  </w:num>
  <w:num w:numId="9">
    <w:abstractNumId w:val="15"/>
  </w:num>
  <w:num w:numId="10">
    <w:abstractNumId w:val="9"/>
  </w:num>
  <w:num w:numId="11">
    <w:abstractNumId w:val="8"/>
  </w:num>
  <w:num w:numId="12">
    <w:abstractNumId w:val="6"/>
  </w:num>
  <w:num w:numId="13">
    <w:abstractNumId w:val="0"/>
  </w:num>
  <w:num w:numId="14">
    <w:abstractNumId w:val="11"/>
  </w:num>
  <w:num w:numId="15">
    <w:abstractNumId w:val="17"/>
  </w:num>
  <w:num w:numId="16">
    <w:abstractNumId w:val="24"/>
  </w:num>
  <w:num w:numId="17">
    <w:abstractNumId w:val="20"/>
  </w:num>
  <w:num w:numId="18">
    <w:abstractNumId w:val="19"/>
  </w:num>
  <w:num w:numId="19">
    <w:abstractNumId w:val="22"/>
  </w:num>
  <w:num w:numId="20">
    <w:abstractNumId w:val="25"/>
  </w:num>
  <w:num w:numId="21">
    <w:abstractNumId w:val="4"/>
  </w:num>
  <w:num w:numId="22">
    <w:abstractNumId w:val="2"/>
  </w:num>
  <w:num w:numId="23">
    <w:abstractNumId w:val="14"/>
  </w:num>
  <w:num w:numId="24">
    <w:abstractNumId w:val="13"/>
  </w:num>
  <w:num w:numId="25">
    <w:abstractNumId w:val="1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92"/>
    <w:rsid w:val="0001040F"/>
    <w:rsid w:val="000224AB"/>
    <w:rsid w:val="0005010C"/>
    <w:rsid w:val="000504B5"/>
    <w:rsid w:val="000667A3"/>
    <w:rsid w:val="00073AE0"/>
    <w:rsid w:val="000877A4"/>
    <w:rsid w:val="000947F6"/>
    <w:rsid w:val="000D6E7B"/>
    <w:rsid w:val="00101A2C"/>
    <w:rsid w:val="00116B7A"/>
    <w:rsid w:val="00136B1D"/>
    <w:rsid w:val="00142995"/>
    <w:rsid w:val="001B5B25"/>
    <w:rsid w:val="001B6846"/>
    <w:rsid w:val="001D0C48"/>
    <w:rsid w:val="001F61E7"/>
    <w:rsid w:val="0022079C"/>
    <w:rsid w:val="0022400C"/>
    <w:rsid w:val="0022748D"/>
    <w:rsid w:val="002403AD"/>
    <w:rsid w:val="0025463C"/>
    <w:rsid w:val="002554F4"/>
    <w:rsid w:val="0029175C"/>
    <w:rsid w:val="002A41C9"/>
    <w:rsid w:val="002B2207"/>
    <w:rsid w:val="002B6991"/>
    <w:rsid w:val="002E6DCA"/>
    <w:rsid w:val="003247C8"/>
    <w:rsid w:val="00326251"/>
    <w:rsid w:val="003D6D17"/>
    <w:rsid w:val="003E3759"/>
    <w:rsid w:val="003E5544"/>
    <w:rsid w:val="003F0052"/>
    <w:rsid w:val="003F0943"/>
    <w:rsid w:val="00436AAE"/>
    <w:rsid w:val="00445712"/>
    <w:rsid w:val="004478C8"/>
    <w:rsid w:val="00454041"/>
    <w:rsid w:val="004630A7"/>
    <w:rsid w:val="004A09E3"/>
    <w:rsid w:val="004A2C5D"/>
    <w:rsid w:val="00517C28"/>
    <w:rsid w:val="00526A66"/>
    <w:rsid w:val="00531B74"/>
    <w:rsid w:val="0053350B"/>
    <w:rsid w:val="00537C91"/>
    <w:rsid w:val="005519FB"/>
    <w:rsid w:val="00554606"/>
    <w:rsid w:val="0057723A"/>
    <w:rsid w:val="00581094"/>
    <w:rsid w:val="005C3DDF"/>
    <w:rsid w:val="005D60C4"/>
    <w:rsid w:val="005E1EDD"/>
    <w:rsid w:val="00631E3E"/>
    <w:rsid w:val="006514C6"/>
    <w:rsid w:val="0065625D"/>
    <w:rsid w:val="0067007B"/>
    <w:rsid w:val="0068723E"/>
    <w:rsid w:val="00687CFB"/>
    <w:rsid w:val="006A212D"/>
    <w:rsid w:val="006B0735"/>
    <w:rsid w:val="006D3D4A"/>
    <w:rsid w:val="006D77CC"/>
    <w:rsid w:val="0070033D"/>
    <w:rsid w:val="00715C29"/>
    <w:rsid w:val="00731326"/>
    <w:rsid w:val="007C7A15"/>
    <w:rsid w:val="007F57B8"/>
    <w:rsid w:val="008854A4"/>
    <w:rsid w:val="008C19E5"/>
    <w:rsid w:val="008D01D7"/>
    <w:rsid w:val="008F52CA"/>
    <w:rsid w:val="00904F01"/>
    <w:rsid w:val="00965D83"/>
    <w:rsid w:val="009720EB"/>
    <w:rsid w:val="009B5AB4"/>
    <w:rsid w:val="009D3091"/>
    <w:rsid w:val="009D48E5"/>
    <w:rsid w:val="009F4C3C"/>
    <w:rsid w:val="009F6FA3"/>
    <w:rsid w:val="00A06002"/>
    <w:rsid w:val="00A73C92"/>
    <w:rsid w:val="00AA7228"/>
    <w:rsid w:val="00AD5340"/>
    <w:rsid w:val="00B16287"/>
    <w:rsid w:val="00B56125"/>
    <w:rsid w:val="00B858E5"/>
    <w:rsid w:val="00BA1861"/>
    <w:rsid w:val="00BA34DB"/>
    <w:rsid w:val="00BB65AA"/>
    <w:rsid w:val="00BE2953"/>
    <w:rsid w:val="00C31E59"/>
    <w:rsid w:val="00C37BDD"/>
    <w:rsid w:val="00C40C44"/>
    <w:rsid w:val="00C45D02"/>
    <w:rsid w:val="00C660C1"/>
    <w:rsid w:val="00C85E78"/>
    <w:rsid w:val="00D24102"/>
    <w:rsid w:val="00D86B5A"/>
    <w:rsid w:val="00D946A5"/>
    <w:rsid w:val="00DA4FC2"/>
    <w:rsid w:val="00E01C08"/>
    <w:rsid w:val="00E21E78"/>
    <w:rsid w:val="00EB0B8E"/>
    <w:rsid w:val="00EC6783"/>
    <w:rsid w:val="00F10215"/>
    <w:rsid w:val="00F43D44"/>
    <w:rsid w:val="00F9164D"/>
    <w:rsid w:val="00F93879"/>
    <w:rsid w:val="00FB2497"/>
    <w:rsid w:val="00FC634C"/>
    <w:rsid w:val="00FE04B2"/>
    <w:rsid w:val="00FE121A"/>
    <w:rsid w:val="00FF0D7C"/>
    <w:rsid w:val="00FF250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465E7B"/>
  <w15:docId w15:val="{E399A8DB-EDD3-4466-9301-85290144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4C6"/>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link w:val="Ttulo1Car"/>
    <w:uiPriority w:val="1"/>
    <w:qFormat/>
    <w:rsid w:val="0057723A"/>
    <w:pPr>
      <w:widowControl w:val="0"/>
      <w:ind w:left="1699"/>
      <w:outlineLvl w:val="0"/>
    </w:pPr>
    <w:rPr>
      <w:rFonts w:ascii="Cambria" w:eastAsia="Cambria" w:hAnsi="Cambria" w:cstheme="minorBidi"/>
      <w:b/>
      <w:bCs/>
      <w:sz w:val="24"/>
      <w:szCs w:val="24"/>
      <w:lang w:val="es-ES" w:eastAsia="en-US"/>
    </w:rPr>
  </w:style>
  <w:style w:type="paragraph" w:styleId="Ttulo2">
    <w:name w:val="heading 2"/>
    <w:basedOn w:val="Normal"/>
    <w:next w:val="Normal"/>
    <w:link w:val="Ttulo2Car"/>
    <w:uiPriority w:val="9"/>
    <w:semiHidden/>
    <w:unhideWhenUsed/>
    <w:qFormat/>
    <w:rsid w:val="003F09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C40C4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65D83"/>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965D83"/>
  </w:style>
  <w:style w:type="paragraph" w:styleId="Piedepgina">
    <w:name w:val="footer"/>
    <w:basedOn w:val="Normal"/>
    <w:link w:val="PiedepginaCar"/>
    <w:uiPriority w:val="99"/>
    <w:unhideWhenUsed/>
    <w:rsid w:val="00965D83"/>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965D83"/>
  </w:style>
  <w:style w:type="paragraph" w:styleId="Textodeglobo">
    <w:name w:val="Balloon Text"/>
    <w:basedOn w:val="Normal"/>
    <w:link w:val="TextodegloboCar"/>
    <w:uiPriority w:val="99"/>
    <w:semiHidden/>
    <w:unhideWhenUsed/>
    <w:rsid w:val="00965D83"/>
    <w:rPr>
      <w:rFonts w:ascii="Tahoma" w:hAnsi="Tahoma" w:cs="Tahoma"/>
      <w:sz w:val="16"/>
      <w:szCs w:val="16"/>
    </w:rPr>
  </w:style>
  <w:style w:type="character" w:customStyle="1" w:styleId="TextodegloboCar">
    <w:name w:val="Texto de globo Car"/>
    <w:basedOn w:val="Fuentedeprrafopredeter"/>
    <w:link w:val="Textodeglobo"/>
    <w:uiPriority w:val="99"/>
    <w:semiHidden/>
    <w:rsid w:val="00965D83"/>
    <w:rPr>
      <w:rFonts w:ascii="Tahoma" w:hAnsi="Tahoma" w:cs="Tahoma"/>
      <w:sz w:val="16"/>
      <w:szCs w:val="16"/>
    </w:rPr>
  </w:style>
  <w:style w:type="table" w:styleId="Tablaconcuadrcula">
    <w:name w:val="Table Grid"/>
    <w:basedOn w:val="Tablanormal"/>
    <w:uiPriority w:val="39"/>
    <w:rsid w:val="009D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 Paragraph 1,Llista Nivell1,Lista de nivel 1,Lettre d'introduction,Table of contents numbered,Paragraphe de liste PBLH,BULLET 1,List Bulletized,List Paragraph Char Char,Bullet Points,Liste Paragraf,Listenabsatz1,Elenco Bullet point"/>
    <w:basedOn w:val="Normal"/>
    <w:link w:val="PrrafodelistaCar"/>
    <w:uiPriority w:val="34"/>
    <w:qFormat/>
    <w:rsid w:val="009D3091"/>
    <w:pPr>
      <w:spacing w:after="160" w:line="259" w:lineRule="auto"/>
      <w:ind w:left="720"/>
      <w:contextualSpacing/>
    </w:pPr>
    <w:rPr>
      <w:rFonts w:asciiTheme="minorHAnsi" w:eastAsiaTheme="minorHAnsi" w:hAnsiTheme="minorHAnsi" w:cstheme="minorBidi"/>
      <w:sz w:val="22"/>
      <w:szCs w:val="22"/>
      <w:lang w:val="es-ES" w:eastAsia="en-US"/>
    </w:rPr>
  </w:style>
  <w:style w:type="character" w:customStyle="1" w:styleId="PrrafodelistaCar">
    <w:name w:val="Párrafo de lista Car"/>
    <w:aliases w:val="List Paragraph 1 Car,Llista Nivell1 Car,Lista de nivel 1 Car,Lettre d'introduction Car,Table of contents numbered Car,Paragraphe de liste PBLH Car,BULLET 1 Car,List Bulletized Car,List Paragraph Char Char Car,Bullet Points Car"/>
    <w:basedOn w:val="Fuentedeprrafopredeter"/>
    <w:link w:val="Prrafodelista"/>
    <w:uiPriority w:val="34"/>
    <w:qFormat/>
    <w:locked/>
    <w:rsid w:val="009D3091"/>
  </w:style>
  <w:style w:type="paragraph" w:styleId="Ttulo">
    <w:name w:val="Title"/>
    <w:basedOn w:val="Normal"/>
    <w:link w:val="TtuloCar"/>
    <w:qFormat/>
    <w:rsid w:val="009D3091"/>
    <w:pPr>
      <w:jc w:val="center"/>
    </w:pPr>
    <w:rPr>
      <w:b/>
    </w:rPr>
  </w:style>
  <w:style w:type="character" w:customStyle="1" w:styleId="TtuloCar">
    <w:name w:val="Título Car"/>
    <w:basedOn w:val="Fuentedeprrafopredeter"/>
    <w:link w:val="Ttulo"/>
    <w:rsid w:val="009D3091"/>
    <w:rPr>
      <w:rFonts w:ascii="Times New Roman" w:eastAsia="Times New Roman" w:hAnsi="Times New Roman" w:cs="Times New Roman"/>
      <w:b/>
      <w:sz w:val="20"/>
      <w:szCs w:val="20"/>
      <w:lang w:val="es-ES_tradnl" w:eastAsia="es-ES"/>
    </w:rPr>
  </w:style>
  <w:style w:type="character" w:customStyle="1" w:styleId="FontStyle19">
    <w:name w:val="Font Style19"/>
    <w:rsid w:val="0022400C"/>
    <w:rPr>
      <w:rFonts w:ascii="Arial" w:hAnsi="Arial" w:cs="Arial"/>
      <w:i/>
      <w:iCs/>
      <w:sz w:val="18"/>
      <w:szCs w:val="18"/>
    </w:rPr>
  </w:style>
  <w:style w:type="paragraph" w:customStyle="1" w:styleId="Style3">
    <w:name w:val="Style3"/>
    <w:basedOn w:val="Normal"/>
    <w:rsid w:val="0022400C"/>
    <w:pPr>
      <w:widowControl w:val="0"/>
      <w:autoSpaceDE w:val="0"/>
      <w:autoSpaceDN w:val="0"/>
      <w:adjustRightInd w:val="0"/>
      <w:spacing w:line="240" w:lineRule="exact"/>
      <w:ind w:firstLine="346"/>
      <w:jc w:val="both"/>
    </w:pPr>
    <w:rPr>
      <w:rFonts w:ascii="Arial" w:hAnsi="Arial"/>
      <w:sz w:val="24"/>
      <w:szCs w:val="24"/>
      <w:lang w:val="es-ES"/>
    </w:rPr>
  </w:style>
  <w:style w:type="paragraph" w:customStyle="1" w:styleId="m-1782611285796526250gmail-style3">
    <w:name w:val="m_-1782611285796526250gmail-style3"/>
    <w:basedOn w:val="Normal"/>
    <w:rsid w:val="0022400C"/>
    <w:pPr>
      <w:spacing w:before="100" w:beforeAutospacing="1" w:after="100" w:afterAutospacing="1"/>
    </w:pPr>
    <w:rPr>
      <w:sz w:val="24"/>
      <w:szCs w:val="24"/>
      <w:lang w:val="es-ES"/>
    </w:rPr>
  </w:style>
  <w:style w:type="paragraph" w:styleId="Textocomentario">
    <w:name w:val="annotation text"/>
    <w:basedOn w:val="Normal"/>
    <w:link w:val="TextocomentarioCar"/>
    <w:uiPriority w:val="99"/>
    <w:rsid w:val="0022400C"/>
    <w:rPr>
      <w:lang w:val="es-ES"/>
    </w:rPr>
  </w:style>
  <w:style w:type="character" w:customStyle="1" w:styleId="TextocomentarioCar">
    <w:name w:val="Texto comentario Car"/>
    <w:basedOn w:val="Fuentedeprrafopredeter"/>
    <w:link w:val="Textocomentario"/>
    <w:uiPriority w:val="99"/>
    <w:rsid w:val="0022400C"/>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6B0735"/>
    <w:rPr>
      <w:sz w:val="16"/>
      <w:szCs w:val="16"/>
    </w:rPr>
  </w:style>
  <w:style w:type="paragraph" w:styleId="Asuntodelcomentario">
    <w:name w:val="annotation subject"/>
    <w:basedOn w:val="Textocomentario"/>
    <w:next w:val="Textocomentario"/>
    <w:link w:val="AsuntodelcomentarioCar"/>
    <w:uiPriority w:val="99"/>
    <w:semiHidden/>
    <w:unhideWhenUsed/>
    <w:rsid w:val="006B0735"/>
    <w:rPr>
      <w:b/>
      <w:bCs/>
      <w:lang w:val="es-ES_tradnl"/>
    </w:rPr>
  </w:style>
  <w:style w:type="character" w:customStyle="1" w:styleId="AsuntodelcomentarioCar">
    <w:name w:val="Asunto del comentario Car"/>
    <w:basedOn w:val="TextocomentarioCar"/>
    <w:link w:val="Asuntodelcomentario"/>
    <w:uiPriority w:val="99"/>
    <w:semiHidden/>
    <w:rsid w:val="006B0735"/>
    <w:rPr>
      <w:rFonts w:ascii="Times New Roman" w:eastAsia="Times New Roman" w:hAnsi="Times New Roman" w:cs="Times New Roman"/>
      <w:b/>
      <w:bCs/>
      <w:sz w:val="20"/>
      <w:szCs w:val="20"/>
      <w:lang w:val="es-ES_tradnl" w:eastAsia="es-ES"/>
    </w:rPr>
  </w:style>
  <w:style w:type="paragraph" w:customStyle="1" w:styleId="Default">
    <w:name w:val="Default"/>
    <w:rsid w:val="00F9164D"/>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1"/>
    <w:rsid w:val="0057723A"/>
    <w:rPr>
      <w:rFonts w:ascii="Cambria" w:eastAsia="Cambria" w:hAnsi="Cambria"/>
      <w:b/>
      <w:bCs/>
      <w:sz w:val="24"/>
      <w:szCs w:val="24"/>
    </w:rPr>
  </w:style>
  <w:style w:type="character" w:customStyle="1" w:styleId="Ttulo3Car">
    <w:name w:val="Título 3 Car"/>
    <w:basedOn w:val="Fuentedeprrafopredeter"/>
    <w:link w:val="Ttulo3"/>
    <w:uiPriority w:val="9"/>
    <w:semiHidden/>
    <w:rsid w:val="00C40C44"/>
    <w:rPr>
      <w:rFonts w:asciiTheme="majorHAnsi" w:eastAsiaTheme="majorEastAsia" w:hAnsiTheme="majorHAnsi" w:cstheme="majorBidi"/>
      <w:color w:val="243F60" w:themeColor="accent1" w:themeShade="7F"/>
      <w:sz w:val="24"/>
      <w:szCs w:val="24"/>
      <w:lang w:val="es-ES_tradnl" w:eastAsia="es-ES"/>
    </w:rPr>
  </w:style>
  <w:style w:type="paragraph" w:styleId="Textoindependiente">
    <w:name w:val="Body Text"/>
    <w:basedOn w:val="Normal"/>
    <w:link w:val="TextoindependienteCar"/>
    <w:uiPriority w:val="1"/>
    <w:qFormat/>
    <w:rsid w:val="004A09E3"/>
    <w:pPr>
      <w:widowControl w:val="0"/>
      <w:ind w:left="114"/>
    </w:pPr>
    <w:rPr>
      <w:rFonts w:cstheme="minorBidi"/>
      <w:lang w:eastAsia="en-US"/>
    </w:rPr>
  </w:style>
  <w:style w:type="character" w:customStyle="1" w:styleId="TextoindependienteCar">
    <w:name w:val="Texto independiente Car"/>
    <w:basedOn w:val="Fuentedeprrafopredeter"/>
    <w:link w:val="Textoindependiente"/>
    <w:uiPriority w:val="1"/>
    <w:rsid w:val="004A09E3"/>
    <w:rPr>
      <w:rFonts w:ascii="Times New Roman" w:eastAsia="Times New Roman" w:hAnsi="Times New Roman"/>
      <w:sz w:val="20"/>
      <w:szCs w:val="20"/>
      <w:lang w:val="es-ES_tradnl"/>
    </w:rPr>
  </w:style>
  <w:style w:type="character" w:styleId="Hipervnculo">
    <w:name w:val="Hyperlink"/>
    <w:basedOn w:val="Fuentedeprrafopredeter"/>
    <w:uiPriority w:val="99"/>
    <w:unhideWhenUsed/>
    <w:rsid w:val="000667A3"/>
    <w:rPr>
      <w:color w:val="0000FF"/>
      <w:u w:val="single"/>
    </w:rPr>
  </w:style>
  <w:style w:type="table" w:styleId="Tabladecuadrcula1clara-nfasis3">
    <w:name w:val="Grid Table 1 Light Accent 3"/>
    <w:basedOn w:val="Tablanormal"/>
    <w:uiPriority w:val="46"/>
    <w:rsid w:val="000667A3"/>
    <w:pPr>
      <w:spacing w:before="100"/>
    </w:pPr>
    <w:rPr>
      <w:rFonts w:eastAsiaTheme="minorEastAsia"/>
      <w:sz w:val="20"/>
      <w:szCs w:val="20"/>
      <w:lang w:eastAsia="es-E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0667A3"/>
    <w:pPr>
      <w:spacing w:before="100" w:beforeAutospacing="1" w:after="100" w:afterAutospacing="1"/>
    </w:pPr>
    <w:rPr>
      <w:sz w:val="24"/>
      <w:szCs w:val="24"/>
      <w:lang w:val="es-ES"/>
    </w:rPr>
  </w:style>
  <w:style w:type="character" w:customStyle="1" w:styleId="Ttulo2Car">
    <w:name w:val="Título 2 Car"/>
    <w:basedOn w:val="Fuentedeprrafopredeter"/>
    <w:link w:val="Ttulo2"/>
    <w:uiPriority w:val="9"/>
    <w:semiHidden/>
    <w:rsid w:val="003F0943"/>
    <w:rPr>
      <w:rFonts w:asciiTheme="majorHAnsi" w:eastAsiaTheme="majorEastAsia" w:hAnsiTheme="majorHAnsi" w:cstheme="majorBidi"/>
      <w:color w:val="365F91" w:themeColor="accent1" w:themeShade="BF"/>
      <w:sz w:val="26"/>
      <w:szCs w:val="26"/>
      <w:lang w:val="es-ES_tradnl" w:eastAsia="es-ES"/>
    </w:rPr>
  </w:style>
  <w:style w:type="paragraph" w:styleId="Textonotapie">
    <w:name w:val="footnote text"/>
    <w:basedOn w:val="Normal"/>
    <w:link w:val="TextonotapieCar"/>
    <w:uiPriority w:val="99"/>
    <w:semiHidden/>
    <w:unhideWhenUsed/>
    <w:rsid w:val="003F0943"/>
    <w:rPr>
      <w:lang w:val="en-US" w:eastAsia="en-US"/>
    </w:rPr>
  </w:style>
  <w:style w:type="character" w:customStyle="1" w:styleId="TextonotapieCar">
    <w:name w:val="Texto nota pie Car"/>
    <w:basedOn w:val="Fuentedeprrafopredeter"/>
    <w:link w:val="Textonotapie"/>
    <w:uiPriority w:val="99"/>
    <w:semiHidden/>
    <w:rsid w:val="003F0943"/>
    <w:rPr>
      <w:rFonts w:ascii="Times New Roman" w:eastAsia="Times New Roman" w:hAnsi="Times New Roman" w:cs="Times New Roman"/>
      <w:sz w:val="20"/>
      <w:szCs w:val="20"/>
      <w:lang w:val="en-US"/>
    </w:rPr>
  </w:style>
  <w:style w:type="character" w:styleId="Refdenotaalpie">
    <w:name w:val="footnote reference"/>
    <w:uiPriority w:val="99"/>
    <w:semiHidden/>
    <w:unhideWhenUsed/>
    <w:rsid w:val="003F0943"/>
    <w:rPr>
      <w:vertAlign w:val="superscript"/>
    </w:rPr>
  </w:style>
  <w:style w:type="paragraph" w:styleId="Textonotaalfinal">
    <w:name w:val="endnote text"/>
    <w:basedOn w:val="Normal"/>
    <w:link w:val="TextonotaalfinalCar"/>
    <w:uiPriority w:val="99"/>
    <w:semiHidden/>
    <w:unhideWhenUsed/>
    <w:rsid w:val="008F52CA"/>
  </w:style>
  <w:style w:type="character" w:customStyle="1" w:styleId="TextonotaalfinalCar">
    <w:name w:val="Texto nota al final Car"/>
    <w:basedOn w:val="Fuentedeprrafopredeter"/>
    <w:link w:val="Textonotaalfinal"/>
    <w:uiPriority w:val="99"/>
    <w:semiHidden/>
    <w:rsid w:val="008F52CA"/>
    <w:rPr>
      <w:rFonts w:ascii="Times New Roman" w:eastAsia="Times New Roman" w:hAnsi="Times New Roman" w:cs="Times New Roman"/>
      <w:sz w:val="20"/>
      <w:szCs w:val="20"/>
      <w:lang w:val="es-ES_tradnl" w:eastAsia="es-ES"/>
    </w:rPr>
  </w:style>
  <w:style w:type="character" w:styleId="Refdenotaalfinal">
    <w:name w:val="endnote reference"/>
    <w:basedOn w:val="Fuentedeprrafopredeter"/>
    <w:uiPriority w:val="99"/>
    <w:semiHidden/>
    <w:unhideWhenUsed/>
    <w:rsid w:val="008F52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95403">
      <w:bodyDiv w:val="1"/>
      <w:marLeft w:val="0"/>
      <w:marRight w:val="0"/>
      <w:marTop w:val="0"/>
      <w:marBottom w:val="0"/>
      <w:divBdr>
        <w:top w:val="none" w:sz="0" w:space="0" w:color="auto"/>
        <w:left w:val="none" w:sz="0" w:space="0" w:color="auto"/>
        <w:bottom w:val="none" w:sz="0" w:space="0" w:color="auto"/>
        <w:right w:val="none" w:sz="0" w:space="0" w:color="auto"/>
      </w:divBdr>
    </w:div>
    <w:div w:id="169370425">
      <w:bodyDiv w:val="1"/>
      <w:marLeft w:val="0"/>
      <w:marRight w:val="0"/>
      <w:marTop w:val="0"/>
      <w:marBottom w:val="0"/>
      <w:divBdr>
        <w:top w:val="none" w:sz="0" w:space="0" w:color="auto"/>
        <w:left w:val="none" w:sz="0" w:space="0" w:color="auto"/>
        <w:bottom w:val="none" w:sz="0" w:space="0" w:color="auto"/>
        <w:right w:val="none" w:sz="0" w:space="0" w:color="auto"/>
      </w:divBdr>
    </w:div>
    <w:div w:id="537664545">
      <w:bodyDiv w:val="1"/>
      <w:marLeft w:val="0"/>
      <w:marRight w:val="0"/>
      <w:marTop w:val="0"/>
      <w:marBottom w:val="0"/>
      <w:divBdr>
        <w:top w:val="none" w:sz="0" w:space="0" w:color="auto"/>
        <w:left w:val="none" w:sz="0" w:space="0" w:color="auto"/>
        <w:bottom w:val="none" w:sz="0" w:space="0" w:color="auto"/>
        <w:right w:val="none" w:sz="0" w:space="0" w:color="auto"/>
      </w:divBdr>
    </w:div>
    <w:div w:id="573392519">
      <w:bodyDiv w:val="1"/>
      <w:marLeft w:val="0"/>
      <w:marRight w:val="0"/>
      <w:marTop w:val="0"/>
      <w:marBottom w:val="0"/>
      <w:divBdr>
        <w:top w:val="none" w:sz="0" w:space="0" w:color="auto"/>
        <w:left w:val="none" w:sz="0" w:space="0" w:color="auto"/>
        <w:bottom w:val="none" w:sz="0" w:space="0" w:color="auto"/>
        <w:right w:val="none" w:sz="0" w:space="0" w:color="auto"/>
      </w:divBdr>
    </w:div>
    <w:div w:id="693768016">
      <w:bodyDiv w:val="1"/>
      <w:marLeft w:val="0"/>
      <w:marRight w:val="0"/>
      <w:marTop w:val="0"/>
      <w:marBottom w:val="0"/>
      <w:divBdr>
        <w:top w:val="none" w:sz="0" w:space="0" w:color="auto"/>
        <w:left w:val="none" w:sz="0" w:space="0" w:color="auto"/>
        <w:bottom w:val="none" w:sz="0" w:space="0" w:color="auto"/>
        <w:right w:val="none" w:sz="0" w:space="0" w:color="auto"/>
      </w:divBdr>
    </w:div>
    <w:div w:id="730542696">
      <w:bodyDiv w:val="1"/>
      <w:marLeft w:val="0"/>
      <w:marRight w:val="0"/>
      <w:marTop w:val="0"/>
      <w:marBottom w:val="0"/>
      <w:divBdr>
        <w:top w:val="none" w:sz="0" w:space="0" w:color="auto"/>
        <w:left w:val="none" w:sz="0" w:space="0" w:color="auto"/>
        <w:bottom w:val="none" w:sz="0" w:space="0" w:color="auto"/>
        <w:right w:val="none" w:sz="0" w:space="0" w:color="auto"/>
      </w:divBdr>
    </w:div>
    <w:div w:id="786389040">
      <w:bodyDiv w:val="1"/>
      <w:marLeft w:val="0"/>
      <w:marRight w:val="0"/>
      <w:marTop w:val="0"/>
      <w:marBottom w:val="0"/>
      <w:divBdr>
        <w:top w:val="none" w:sz="0" w:space="0" w:color="auto"/>
        <w:left w:val="none" w:sz="0" w:space="0" w:color="auto"/>
        <w:bottom w:val="none" w:sz="0" w:space="0" w:color="auto"/>
        <w:right w:val="none" w:sz="0" w:space="0" w:color="auto"/>
      </w:divBdr>
    </w:div>
    <w:div w:id="835537985">
      <w:bodyDiv w:val="1"/>
      <w:marLeft w:val="0"/>
      <w:marRight w:val="0"/>
      <w:marTop w:val="0"/>
      <w:marBottom w:val="0"/>
      <w:divBdr>
        <w:top w:val="none" w:sz="0" w:space="0" w:color="auto"/>
        <w:left w:val="none" w:sz="0" w:space="0" w:color="auto"/>
        <w:bottom w:val="none" w:sz="0" w:space="0" w:color="auto"/>
        <w:right w:val="none" w:sz="0" w:space="0" w:color="auto"/>
      </w:divBdr>
    </w:div>
    <w:div w:id="977999448">
      <w:bodyDiv w:val="1"/>
      <w:marLeft w:val="0"/>
      <w:marRight w:val="0"/>
      <w:marTop w:val="0"/>
      <w:marBottom w:val="0"/>
      <w:divBdr>
        <w:top w:val="none" w:sz="0" w:space="0" w:color="auto"/>
        <w:left w:val="none" w:sz="0" w:space="0" w:color="auto"/>
        <w:bottom w:val="none" w:sz="0" w:space="0" w:color="auto"/>
        <w:right w:val="none" w:sz="0" w:space="0" w:color="auto"/>
      </w:divBdr>
    </w:div>
    <w:div w:id="1608076961">
      <w:bodyDiv w:val="1"/>
      <w:marLeft w:val="0"/>
      <w:marRight w:val="0"/>
      <w:marTop w:val="0"/>
      <w:marBottom w:val="0"/>
      <w:divBdr>
        <w:top w:val="none" w:sz="0" w:space="0" w:color="auto"/>
        <w:left w:val="none" w:sz="0" w:space="0" w:color="auto"/>
        <w:bottom w:val="none" w:sz="0" w:space="0" w:color="auto"/>
        <w:right w:val="none" w:sz="0" w:space="0" w:color="auto"/>
      </w:divBdr>
    </w:div>
    <w:div w:id="161358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3.png@01D8CE80.FABA2AB0"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2DD61EAD705F46A2D3910CFECE1FBA" ma:contentTypeVersion="2" ma:contentTypeDescription="Crear nuevo documento." ma:contentTypeScope="" ma:versionID="7542ae654ce5571dcca71bf2677dfab9">
  <xsd:schema xmlns:xsd="http://www.w3.org/2001/XMLSchema" xmlns:xs="http://www.w3.org/2001/XMLSchema" xmlns:p="http://schemas.microsoft.com/office/2006/metadata/properties" xmlns:ns2="486192c6-fa53-4a0e-bff1-94d3a1321153" targetNamespace="http://schemas.microsoft.com/office/2006/metadata/properties" ma:root="true" ma:fieldsID="0aed895defece6404ad63c098098fb47" ns2:_="">
    <xsd:import namespace="486192c6-fa53-4a0e-bff1-94d3a1321153"/>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192c6-fa53-4a0e-bff1-94d3a1321153"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maxLength value="255"/>
        </xsd:restriction>
      </xsd:simpleType>
    </xsd:element>
    <xsd:element name="Orden" ma:index="9"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n xmlns="486192c6-fa53-4a0e-bff1-94d3a1321153">5</Orden>
    <Descripci_x00f3_n xmlns="486192c6-fa53-4a0e-bff1-94d3a13211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7F54D-CFE0-4D3D-95EA-0AB1D118A665}"/>
</file>

<file path=customXml/itemProps2.xml><?xml version="1.0" encoding="utf-8"?>
<ds:datastoreItem xmlns:ds="http://schemas.openxmlformats.org/officeDocument/2006/customXml" ds:itemID="{06AAFD91-8F84-43EF-A133-63C09F1D528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F7A32AE-A6C7-48EC-8142-0E484FF45301}">
  <ds:schemaRefs>
    <ds:schemaRef ds:uri="http://schemas.microsoft.com/sharepoint/v3/contenttype/forms"/>
  </ds:schemaRefs>
</ds:datastoreItem>
</file>

<file path=customXml/itemProps4.xml><?xml version="1.0" encoding="utf-8"?>
<ds:datastoreItem xmlns:ds="http://schemas.openxmlformats.org/officeDocument/2006/customXml" ds:itemID="{776C0CBB-5941-4668-9AED-0111368AC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1314</Words>
  <Characters>7230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MITYC</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5.-Modelo declaración responsable PRTR DNSH (Anexo V) (actualizado:02/08/2023)</dc:title>
  <dc:creator>Castillo Muñoz, Ines</dc:creator>
  <cp:lastModifiedBy>Sanchez Bellas, Cristina</cp:lastModifiedBy>
  <cp:revision>13</cp:revision>
  <cp:lastPrinted>2014-09-23T07:42:00Z</cp:lastPrinted>
  <dcterms:created xsi:type="dcterms:W3CDTF">2022-09-22T14:17:00Z</dcterms:created>
  <dcterms:modified xsi:type="dcterms:W3CDTF">2023-05-31T12:31:00Z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0x010100132DD61EAD705F46A2D3910CFECE1FBA</vt:lpwstr>
  </property>
</Properties>
</file>